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62F22" w14:paraId="096717EF" w14:textId="77777777" w:rsidTr="00ED6E80">
        <w:trPr>
          <w:trHeight w:val="1272"/>
        </w:trPr>
        <w:tc>
          <w:tcPr>
            <w:tcW w:w="4508" w:type="dxa"/>
          </w:tcPr>
          <w:p w14:paraId="5C43DCF5" w14:textId="77777777" w:rsidR="00062F22" w:rsidRDefault="00062F22" w:rsidP="00ED6E80">
            <w:pPr>
              <w:tabs>
                <w:tab w:val="right" w:pos="4133"/>
              </w:tabs>
              <w:spacing w:after="10"/>
            </w:pPr>
          </w:p>
        </w:tc>
        <w:tc>
          <w:tcPr>
            <w:tcW w:w="4508" w:type="dxa"/>
          </w:tcPr>
          <w:p w14:paraId="328091D3" w14:textId="77777777" w:rsidR="00062F22" w:rsidRDefault="00062F22" w:rsidP="00ED6E80">
            <w:pPr>
              <w:pStyle w:val="Headerstrip"/>
              <w:ind w:right="-21"/>
              <w:jc w:val="right"/>
            </w:pPr>
            <w:r>
              <w:drawing>
                <wp:inline distT="0" distB="0" distL="0" distR="0" wp14:anchorId="59A9B7C4" wp14:editId="5EFBC26D">
                  <wp:extent cx="2234584" cy="763930"/>
                  <wp:effectExtent l="0" t="0" r="0" b="0"/>
                  <wp:docPr id="289" name="Picture 2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Text&#10;&#10;Description automatically generated"/>
                          <pic:cNvPicPr/>
                        </pic:nvPicPr>
                        <pic:blipFill rotWithShape="1">
                          <a:blip r:embed="rId8" cstate="print">
                            <a:extLst>
                              <a:ext uri="{28A0092B-C50C-407E-A947-70E740481C1C}">
                                <a14:useLocalDpi xmlns:a14="http://schemas.microsoft.com/office/drawing/2010/main" val="0"/>
                              </a:ext>
                            </a:extLst>
                          </a:blip>
                          <a:srcRect r="1416"/>
                          <a:stretch/>
                        </pic:blipFill>
                        <pic:spPr bwMode="auto">
                          <a:xfrm>
                            <a:off x="0" y="0"/>
                            <a:ext cx="2269257" cy="775783"/>
                          </a:xfrm>
                          <a:prstGeom prst="rect">
                            <a:avLst/>
                          </a:prstGeom>
                          <a:ln>
                            <a:noFill/>
                          </a:ln>
                          <a:extLst>
                            <a:ext uri="{53640926-AAD7-44D8-BBD7-CCE9431645EC}">
                              <a14:shadowObscured xmlns:a14="http://schemas.microsoft.com/office/drawing/2010/main"/>
                            </a:ext>
                          </a:extLst>
                        </pic:spPr>
                      </pic:pic>
                    </a:graphicData>
                  </a:graphic>
                </wp:inline>
              </w:drawing>
            </w:r>
          </w:p>
        </w:tc>
      </w:tr>
      <w:tr w:rsidR="00062F22" w:rsidRPr="00DA02E9" w14:paraId="42263598" w14:textId="77777777" w:rsidTr="00ED6E80">
        <w:tc>
          <w:tcPr>
            <w:tcW w:w="4508" w:type="dxa"/>
            <w:vAlign w:val="center"/>
          </w:tcPr>
          <w:p w14:paraId="530DDBDA" w14:textId="77777777" w:rsidR="00062F22" w:rsidRDefault="00062F22" w:rsidP="00ED6E80">
            <w:pPr>
              <w:pStyle w:val="Headerstrip"/>
              <w:tabs>
                <w:tab w:val="clear" w:pos="9026"/>
                <w:tab w:val="right" w:pos="4133"/>
              </w:tabs>
              <w:ind w:left="-120" w:right="95"/>
            </w:pPr>
          </w:p>
        </w:tc>
        <w:tc>
          <w:tcPr>
            <w:tcW w:w="4508" w:type="dxa"/>
            <w:vAlign w:val="center"/>
          </w:tcPr>
          <w:p w14:paraId="55B82498" w14:textId="77777777" w:rsidR="00062F22" w:rsidRPr="0058707E" w:rsidRDefault="00062F22" w:rsidP="00ED6E80">
            <w:pPr>
              <w:pStyle w:val="Headerstrip"/>
              <w:ind w:right="-21"/>
              <w:jc w:val="right"/>
              <w:rPr>
                <w:sz w:val="20"/>
                <w:szCs w:val="20"/>
              </w:rPr>
            </w:pPr>
            <w:r w:rsidRPr="0058707E">
              <w:rPr>
                <w:sz w:val="20"/>
                <w:szCs w:val="20"/>
              </w:rPr>
              <w:t>Sustain, The Green House</w:t>
            </w:r>
          </w:p>
          <w:p w14:paraId="1460B25D" w14:textId="77777777" w:rsidR="00062F22" w:rsidRPr="0058707E" w:rsidRDefault="00062F22" w:rsidP="00ED6E80">
            <w:pPr>
              <w:pStyle w:val="Headerstrip"/>
              <w:ind w:right="-21"/>
              <w:jc w:val="right"/>
              <w:rPr>
                <w:sz w:val="20"/>
                <w:szCs w:val="20"/>
              </w:rPr>
            </w:pPr>
            <w:r w:rsidRPr="0058707E">
              <w:rPr>
                <w:sz w:val="20"/>
                <w:szCs w:val="20"/>
              </w:rPr>
              <w:t>244-254 Cambridge Heath Road</w:t>
            </w:r>
          </w:p>
          <w:p w14:paraId="5CA756C6" w14:textId="77777777" w:rsidR="00062F22" w:rsidRPr="00FC0377" w:rsidRDefault="00062F22" w:rsidP="00ED6E80">
            <w:pPr>
              <w:pStyle w:val="Headerstrip"/>
              <w:ind w:right="-21"/>
              <w:jc w:val="right"/>
              <w:rPr>
                <w:sz w:val="20"/>
                <w:szCs w:val="20"/>
                <w:lang w:val="it-IT"/>
              </w:rPr>
            </w:pPr>
            <w:r w:rsidRPr="00FC0377">
              <w:rPr>
                <w:sz w:val="20"/>
                <w:szCs w:val="20"/>
                <w:lang w:val="it-IT"/>
              </w:rPr>
              <w:t>London E2 9DA</w:t>
            </w:r>
          </w:p>
          <w:p w14:paraId="1AB8E497" w14:textId="77777777" w:rsidR="00062F22" w:rsidRPr="00FC0377" w:rsidRDefault="00062F22" w:rsidP="00ED6E80">
            <w:pPr>
              <w:pStyle w:val="Headerstrip"/>
              <w:ind w:right="-21"/>
              <w:jc w:val="right"/>
              <w:rPr>
                <w:sz w:val="20"/>
                <w:szCs w:val="20"/>
                <w:lang w:val="it-IT"/>
              </w:rPr>
            </w:pPr>
            <w:r>
              <w:fldChar w:fldCharType="begin"/>
            </w:r>
            <w:r w:rsidRPr="00DA02E9">
              <w:rPr>
                <w:lang w:val="it-IT"/>
              </w:rPr>
              <w:instrText>HYPERLINK "mailto:sustain@sustainweb.org"</w:instrText>
            </w:r>
            <w:r>
              <w:fldChar w:fldCharType="separate"/>
            </w:r>
            <w:r w:rsidRPr="00FC0377">
              <w:rPr>
                <w:rStyle w:val="Hyperlink"/>
                <w:sz w:val="20"/>
                <w:szCs w:val="20"/>
                <w:lang w:val="it-IT"/>
              </w:rPr>
              <w:t>sustain@sustainweb.org</w:t>
            </w:r>
            <w:r>
              <w:fldChar w:fldCharType="end"/>
            </w:r>
          </w:p>
        </w:tc>
      </w:tr>
    </w:tbl>
    <w:p w14:paraId="4EE2DFA9" w14:textId="77777777" w:rsidR="00062F22" w:rsidRPr="00FC0377" w:rsidRDefault="00062F22" w:rsidP="00062F22">
      <w:pPr>
        <w:rPr>
          <w:lang w:val="it-IT"/>
        </w:rPr>
      </w:pPr>
    </w:p>
    <w:p w14:paraId="70AB2F42" w14:textId="77777777" w:rsidR="00062F22" w:rsidRPr="00ED2792" w:rsidRDefault="00062F22" w:rsidP="00062F22">
      <w:pPr>
        <w:pStyle w:val="paragraph"/>
        <w:spacing w:before="0" w:beforeAutospacing="0" w:after="0" w:afterAutospacing="0"/>
        <w:textAlignment w:val="baseline"/>
        <w:rPr>
          <w:rFonts w:ascii="Segoe UI" w:hAnsi="Segoe UI" w:cs="Segoe UI"/>
          <w:sz w:val="18"/>
          <w:szCs w:val="18"/>
          <w:lang w:val="it-IT"/>
        </w:rPr>
      </w:pPr>
      <w:r w:rsidRPr="00ED2792">
        <w:rPr>
          <w:rStyle w:val="eop"/>
          <w:rFonts w:ascii="Calibri" w:hAnsi="Calibri" w:cs="Calibri"/>
          <w:sz w:val="22"/>
          <w:szCs w:val="22"/>
          <w:lang w:val="it-IT"/>
        </w:rPr>
        <w:t> </w:t>
      </w:r>
    </w:p>
    <w:p w14:paraId="7240E126" w14:textId="77777777" w:rsidR="00062F22" w:rsidRDefault="00062F22" w:rsidP="00062F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FAO: Planning Department</w:t>
      </w:r>
      <w:r>
        <w:rPr>
          <w:rStyle w:val="eop"/>
          <w:rFonts w:ascii="Calibri" w:hAnsi="Calibri" w:cs="Calibri"/>
          <w:sz w:val="22"/>
          <w:szCs w:val="22"/>
        </w:rPr>
        <w:t> </w:t>
      </w:r>
    </w:p>
    <w:p w14:paraId="3E0A577B" w14:textId="3000D0D6" w:rsidR="00062F22" w:rsidRDefault="00182ABF" w:rsidP="00062F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Shropshire</w:t>
      </w:r>
      <w:r w:rsidR="00062F22">
        <w:rPr>
          <w:rStyle w:val="normaltextrun"/>
          <w:rFonts w:ascii="Calibri" w:hAnsi="Calibri" w:cs="Calibri"/>
          <w:sz w:val="22"/>
          <w:szCs w:val="22"/>
        </w:rPr>
        <w:t xml:space="preserve"> Council</w:t>
      </w:r>
    </w:p>
    <w:p w14:paraId="05AA3183" w14:textId="77777777" w:rsidR="00C46821" w:rsidRDefault="00C46821" w:rsidP="00062F22">
      <w:pPr>
        <w:pStyle w:val="paragraph"/>
        <w:spacing w:before="0" w:beforeAutospacing="0" w:after="0" w:afterAutospacing="0"/>
        <w:textAlignment w:val="baseline"/>
        <w:rPr>
          <w:rStyle w:val="normaltextrun"/>
          <w:rFonts w:ascii="Calibri" w:hAnsi="Calibri" w:cs="Calibri"/>
          <w:sz w:val="22"/>
          <w:szCs w:val="22"/>
        </w:rPr>
      </w:pPr>
      <w:r w:rsidRPr="00C46821">
        <w:rPr>
          <w:rStyle w:val="normaltextrun"/>
          <w:rFonts w:ascii="Calibri" w:hAnsi="Calibri" w:cs="Calibri"/>
          <w:sz w:val="22"/>
          <w:szCs w:val="22"/>
        </w:rPr>
        <w:t>1-2 Castle Gates</w:t>
      </w:r>
    </w:p>
    <w:p w14:paraId="2C6D00DD" w14:textId="6C75FE50" w:rsidR="00062F22" w:rsidRPr="00370CB6" w:rsidRDefault="00C46821" w:rsidP="00062F22">
      <w:pPr>
        <w:pStyle w:val="paragraph"/>
        <w:spacing w:before="0" w:beforeAutospacing="0" w:after="0" w:afterAutospacing="0"/>
        <w:textAlignment w:val="baseline"/>
        <w:rPr>
          <w:rStyle w:val="eop"/>
          <w:rFonts w:ascii="Calibri" w:hAnsi="Calibri" w:cs="Calibri"/>
          <w:sz w:val="22"/>
          <w:szCs w:val="22"/>
        </w:rPr>
      </w:pPr>
      <w:r w:rsidRPr="00C46821">
        <w:rPr>
          <w:rStyle w:val="normaltextrun"/>
          <w:rFonts w:ascii="Calibri" w:hAnsi="Calibri" w:cs="Calibri"/>
          <w:sz w:val="22"/>
          <w:szCs w:val="22"/>
        </w:rPr>
        <w:t>Shrewsbury SY1 2AB</w:t>
      </w:r>
    </w:p>
    <w:p w14:paraId="0ED72FC0" w14:textId="77777777" w:rsidR="00C46821" w:rsidRDefault="00C46821" w:rsidP="00062F22">
      <w:pPr>
        <w:pStyle w:val="paragraph"/>
        <w:spacing w:before="0" w:beforeAutospacing="0" w:after="0" w:afterAutospacing="0"/>
        <w:textAlignment w:val="baseline"/>
        <w:rPr>
          <w:rStyle w:val="eop"/>
          <w:rFonts w:ascii="Calibri" w:hAnsi="Calibri" w:cs="Calibri"/>
          <w:sz w:val="22"/>
          <w:szCs w:val="22"/>
        </w:rPr>
      </w:pPr>
    </w:p>
    <w:p w14:paraId="6CC6E3AB" w14:textId="0B16F79B" w:rsidR="00062F22" w:rsidRDefault="640E15EA" w:rsidP="0B86FE8C">
      <w:pPr>
        <w:pStyle w:val="paragraph"/>
        <w:spacing w:before="0" w:beforeAutospacing="0" w:after="0" w:afterAutospacing="0"/>
        <w:textAlignment w:val="baseline"/>
        <w:rPr>
          <w:rStyle w:val="eop"/>
          <w:rFonts w:ascii="Calibri" w:hAnsi="Calibri" w:cs="Calibri"/>
          <w:sz w:val="22"/>
          <w:szCs w:val="22"/>
        </w:rPr>
      </w:pPr>
      <w:r w:rsidRPr="0B86FE8C">
        <w:rPr>
          <w:rStyle w:val="eop"/>
          <w:rFonts w:ascii="Calibri" w:hAnsi="Calibri" w:cs="Calibri"/>
          <w:sz w:val="22"/>
          <w:szCs w:val="22"/>
        </w:rPr>
        <w:t xml:space="preserve">6 </w:t>
      </w:r>
      <w:r w:rsidR="00062F22" w:rsidRPr="0B86FE8C">
        <w:rPr>
          <w:rStyle w:val="eop"/>
          <w:rFonts w:ascii="Calibri" w:hAnsi="Calibri" w:cs="Calibri"/>
          <w:sz w:val="22"/>
          <w:szCs w:val="22"/>
        </w:rPr>
        <w:t>June 2025</w:t>
      </w:r>
    </w:p>
    <w:p w14:paraId="2518F89B" w14:textId="77777777" w:rsidR="00062F22" w:rsidRPr="00370CB6" w:rsidRDefault="00062F22" w:rsidP="00062F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0611EC" w14:textId="556E3080" w:rsidR="00062F22" w:rsidRDefault="00062F22" w:rsidP="00062F22">
      <w:pPr>
        <w:spacing w:line="240" w:lineRule="auto"/>
        <w:rPr>
          <w:rFonts w:ascii="Calibri" w:hAnsi="Calibri" w:cs="Calibri"/>
          <w:sz w:val="22"/>
          <w:szCs w:val="22"/>
        </w:rPr>
      </w:pPr>
      <w:r w:rsidRPr="00256312">
        <w:rPr>
          <w:rFonts w:ascii="Calibri" w:hAnsi="Calibri" w:cs="Calibri"/>
          <w:sz w:val="22"/>
          <w:szCs w:val="22"/>
        </w:rPr>
        <w:t xml:space="preserve">Dear </w:t>
      </w:r>
      <w:r w:rsidR="00080593">
        <w:rPr>
          <w:rFonts w:ascii="Calibri" w:hAnsi="Calibri" w:cs="Calibri"/>
          <w:sz w:val="22"/>
          <w:szCs w:val="22"/>
        </w:rPr>
        <w:t>Shropshire</w:t>
      </w:r>
      <w:r>
        <w:rPr>
          <w:rFonts w:ascii="Calibri" w:hAnsi="Calibri" w:cs="Calibri"/>
          <w:sz w:val="22"/>
          <w:szCs w:val="22"/>
        </w:rPr>
        <w:t xml:space="preserve"> Council </w:t>
      </w:r>
      <w:r w:rsidRPr="00256312">
        <w:rPr>
          <w:rFonts w:ascii="Calibri" w:hAnsi="Calibri" w:cs="Calibri"/>
          <w:sz w:val="22"/>
          <w:szCs w:val="22"/>
        </w:rPr>
        <w:t>Planning Officers,</w:t>
      </w:r>
    </w:p>
    <w:p w14:paraId="65EA6CBD" w14:textId="4ED88F35" w:rsidR="00062F22" w:rsidRPr="00256312" w:rsidRDefault="00062F22" w:rsidP="00062F22">
      <w:pPr>
        <w:spacing w:line="240" w:lineRule="auto"/>
        <w:rPr>
          <w:rFonts w:ascii="Calibri" w:hAnsi="Calibri" w:cs="Calibri"/>
          <w:b/>
          <w:bCs/>
          <w:sz w:val="22"/>
          <w:szCs w:val="22"/>
        </w:rPr>
      </w:pPr>
      <w:r w:rsidRPr="00256312">
        <w:rPr>
          <w:rFonts w:ascii="Calibri" w:hAnsi="Calibri" w:cs="Calibri"/>
          <w:b/>
          <w:bCs/>
          <w:sz w:val="22"/>
          <w:szCs w:val="22"/>
        </w:rPr>
        <w:t xml:space="preserve">Planning Application </w:t>
      </w:r>
      <w:r w:rsidR="00080593" w:rsidRPr="00080593">
        <w:rPr>
          <w:rFonts w:ascii="Calibri" w:hAnsi="Calibri" w:cs="Calibri"/>
          <w:b/>
          <w:bCs/>
          <w:sz w:val="22"/>
          <w:szCs w:val="22"/>
        </w:rPr>
        <w:t>25/01501/EIA|</w:t>
      </w:r>
      <w:r w:rsidR="009F60FB">
        <w:rPr>
          <w:rFonts w:ascii="Calibri" w:hAnsi="Calibri" w:cs="Calibri"/>
          <w:b/>
          <w:bCs/>
          <w:sz w:val="22"/>
          <w:szCs w:val="22"/>
        </w:rPr>
        <w:t xml:space="preserve"> </w:t>
      </w:r>
      <w:r w:rsidR="00080593" w:rsidRPr="00080593">
        <w:rPr>
          <w:rFonts w:ascii="Calibri" w:hAnsi="Calibri" w:cs="Calibri"/>
          <w:b/>
          <w:bCs/>
          <w:sz w:val="22"/>
          <w:szCs w:val="22"/>
        </w:rPr>
        <w:t>Erection of a poultry farm including 4no linked poultry houses with linked amenity building and associated concrete apron, feed bins, feed blending room, dead bird shed, dirty water tanks, biomass boiler house, hardstanding yard area and drainage attenuation pond</w:t>
      </w:r>
    </w:p>
    <w:p w14:paraId="6D5A7EFA" w14:textId="57524BBE" w:rsidR="000E1E10" w:rsidRPr="001D37BA" w:rsidRDefault="000E1E10" w:rsidP="000E1E10">
      <w:pPr>
        <w:spacing w:line="240" w:lineRule="auto"/>
        <w:rPr>
          <w:rFonts w:ascii="Calibri" w:hAnsi="Calibri" w:cs="Calibri"/>
          <w:sz w:val="22"/>
          <w:szCs w:val="22"/>
        </w:rPr>
      </w:pPr>
      <w:r w:rsidRPr="001D37BA">
        <w:rPr>
          <w:rFonts w:ascii="Calibri" w:hAnsi="Calibri" w:cs="Calibri"/>
          <w:sz w:val="22"/>
          <w:szCs w:val="22"/>
        </w:rPr>
        <w:t xml:space="preserve">I submit this evidence on behalf of Sustain: the alliance for better food and farming, a UK registered charity. Sustain advocates for food and farming policies and practices that enhance the health and welfare of people and animals, improve the working and living environment, enrich society and culture, and promote equity. Sustain gathers and shares relevant evidence with decision-makers on the impact of intensive livestock production which is likely to significantly impact on biodiversity loss and increase greenhouse gas emissions in ways that undermine climate change policies and objectives.   </w:t>
      </w:r>
    </w:p>
    <w:p w14:paraId="3ED58C29" w14:textId="26450634" w:rsidR="00AF4047" w:rsidRPr="001D37BA" w:rsidRDefault="000E1E10" w:rsidP="000E1E10">
      <w:pPr>
        <w:spacing w:line="240" w:lineRule="auto"/>
        <w:rPr>
          <w:rFonts w:ascii="Calibri" w:hAnsi="Calibri" w:cs="Calibri"/>
          <w:sz w:val="22"/>
          <w:szCs w:val="22"/>
        </w:rPr>
      </w:pPr>
      <w:r w:rsidRPr="001D37BA">
        <w:rPr>
          <w:rFonts w:ascii="Calibri" w:hAnsi="Calibri" w:cs="Calibri"/>
          <w:sz w:val="22"/>
          <w:szCs w:val="22"/>
        </w:rPr>
        <w:t xml:space="preserve">In early April 2025, having worked with the community in </w:t>
      </w:r>
      <w:proofErr w:type="spellStart"/>
      <w:r w:rsidRPr="001D37BA">
        <w:rPr>
          <w:rFonts w:ascii="Calibri" w:hAnsi="Calibri" w:cs="Calibri"/>
          <w:sz w:val="22"/>
          <w:szCs w:val="22"/>
        </w:rPr>
        <w:t>Methwold</w:t>
      </w:r>
      <w:proofErr w:type="spellEnd"/>
      <w:r w:rsidRPr="001D37BA">
        <w:rPr>
          <w:rFonts w:ascii="Calibri" w:hAnsi="Calibri" w:cs="Calibri"/>
          <w:sz w:val="22"/>
          <w:szCs w:val="22"/>
        </w:rPr>
        <w:t xml:space="preserve">, we successfully demonstrated the legal imperative for councils to properly assess climate impacts of intensive agricultural developments, when an </w:t>
      </w:r>
      <w:hyperlink r:id="rId9" w:history="1">
        <w:r w:rsidRPr="00C95481">
          <w:rPr>
            <w:rStyle w:val="Hyperlink"/>
            <w:rFonts w:ascii="Calibri" w:hAnsi="Calibri" w:cs="Calibri"/>
            <w:sz w:val="22"/>
            <w:szCs w:val="22"/>
          </w:rPr>
          <w:t>application for an intensive pig and poultry unit was rejected on climate grounds in a national first</w:t>
        </w:r>
      </w:hyperlink>
      <w:r w:rsidRPr="001D37BA">
        <w:rPr>
          <w:rFonts w:ascii="Calibri" w:hAnsi="Calibri" w:cs="Calibri"/>
          <w:sz w:val="22"/>
          <w:szCs w:val="22"/>
        </w:rPr>
        <w:t xml:space="preserve">.   </w:t>
      </w:r>
    </w:p>
    <w:p w14:paraId="25A7F1EB" w14:textId="77777777" w:rsidR="00DF25C9" w:rsidRPr="00DF25C9" w:rsidRDefault="00DF25C9" w:rsidP="00DF25C9">
      <w:pPr>
        <w:spacing w:line="240" w:lineRule="auto"/>
        <w:rPr>
          <w:rFonts w:ascii="Calibri" w:hAnsi="Calibri" w:cs="Calibri"/>
          <w:sz w:val="22"/>
          <w:szCs w:val="22"/>
        </w:rPr>
      </w:pPr>
      <w:r w:rsidRPr="00DF25C9">
        <w:rPr>
          <w:rFonts w:ascii="Calibri" w:hAnsi="Calibri" w:cs="Calibri"/>
          <w:sz w:val="22"/>
          <w:szCs w:val="22"/>
        </w:rPr>
        <w:t>Our concerns in relation to this application relate to recent legal and planning precedent. There is growing evidence of the significant harm these units pose to human end environmental health. This application must be considered in light of these cases. </w:t>
      </w:r>
    </w:p>
    <w:p w14:paraId="51DADBA7" w14:textId="7D75E461" w:rsidR="00A51AF3" w:rsidRDefault="000E1E10" w:rsidP="000E1E10">
      <w:pPr>
        <w:spacing w:line="240" w:lineRule="auto"/>
        <w:rPr>
          <w:rFonts w:ascii="Calibri" w:hAnsi="Calibri" w:cs="Calibri"/>
          <w:sz w:val="22"/>
          <w:szCs w:val="22"/>
        </w:rPr>
      </w:pPr>
      <w:r w:rsidRPr="001D37BA">
        <w:rPr>
          <w:rFonts w:ascii="Calibri" w:hAnsi="Calibri" w:cs="Calibri"/>
          <w:sz w:val="22"/>
          <w:szCs w:val="22"/>
        </w:rPr>
        <w:t xml:space="preserve">In our view, whilst the application has referenced climate impacts, this assessment is flawed, and the development is unacceptably environmentally damaging and incompatible with local and national planning policy and climate obligations. </w:t>
      </w:r>
      <w:r w:rsidR="00A51AF3" w:rsidRPr="00A51AF3">
        <w:rPr>
          <w:rFonts w:ascii="Calibri" w:hAnsi="Calibri" w:cs="Calibri"/>
          <w:sz w:val="22"/>
          <w:szCs w:val="22"/>
        </w:rPr>
        <w:t xml:space="preserve">As in the </w:t>
      </w:r>
      <w:proofErr w:type="spellStart"/>
      <w:r w:rsidR="00A51AF3" w:rsidRPr="00A51AF3">
        <w:rPr>
          <w:rFonts w:ascii="Calibri" w:hAnsi="Calibri" w:cs="Calibri"/>
          <w:sz w:val="22"/>
          <w:szCs w:val="22"/>
        </w:rPr>
        <w:t>Methwold</w:t>
      </w:r>
      <w:proofErr w:type="spellEnd"/>
      <w:r w:rsidR="00A51AF3" w:rsidRPr="00A51AF3">
        <w:rPr>
          <w:rFonts w:ascii="Calibri" w:hAnsi="Calibri" w:cs="Calibri"/>
          <w:sz w:val="22"/>
          <w:szCs w:val="22"/>
        </w:rPr>
        <w:t xml:space="preserve"> case, if this application is approved there is a risk of a legal action successfully ruling the decision as unlawful. </w:t>
      </w:r>
    </w:p>
    <w:p w14:paraId="198902AD" w14:textId="6CD566EF" w:rsidR="000E1E10" w:rsidRPr="00256312" w:rsidRDefault="000E1E10" w:rsidP="000E1E10">
      <w:pPr>
        <w:spacing w:line="240" w:lineRule="auto"/>
        <w:rPr>
          <w:rFonts w:ascii="Calibri" w:hAnsi="Calibri" w:cs="Calibri"/>
          <w:sz w:val="22"/>
          <w:szCs w:val="22"/>
        </w:rPr>
      </w:pPr>
      <w:r w:rsidRPr="00256312">
        <w:rPr>
          <w:rFonts w:ascii="Calibri" w:hAnsi="Calibri" w:cs="Calibri"/>
          <w:sz w:val="22"/>
          <w:szCs w:val="22"/>
        </w:rPr>
        <w:t xml:space="preserve">Our concern is that the proposal raises serious legal, environmental, and public interest issues and that the Environmental Statement (ES) submitted </w:t>
      </w:r>
      <w:r w:rsidRPr="001D37BA">
        <w:rPr>
          <w:rFonts w:ascii="Calibri" w:hAnsi="Calibri" w:cs="Calibri"/>
          <w:sz w:val="22"/>
          <w:szCs w:val="22"/>
        </w:rPr>
        <w:t xml:space="preserve">may be </w:t>
      </w:r>
      <w:r w:rsidRPr="00256312">
        <w:rPr>
          <w:rFonts w:ascii="Calibri" w:hAnsi="Calibri" w:cs="Calibri"/>
          <w:sz w:val="22"/>
          <w:szCs w:val="22"/>
        </w:rPr>
        <w:t>legally non-compliant under UK environmental law as clarified by recent authoritative case law.</w:t>
      </w:r>
    </w:p>
    <w:p w14:paraId="383855AE" w14:textId="77777777" w:rsidR="000E1E10" w:rsidRPr="00256312" w:rsidRDefault="000E1E10" w:rsidP="000E1E10">
      <w:pPr>
        <w:spacing w:line="240" w:lineRule="auto"/>
        <w:rPr>
          <w:rFonts w:ascii="Calibri" w:hAnsi="Calibri" w:cs="Calibri"/>
          <w:sz w:val="22"/>
          <w:szCs w:val="22"/>
        </w:rPr>
      </w:pPr>
      <w:r w:rsidRPr="00256312">
        <w:rPr>
          <w:rFonts w:ascii="Calibri" w:hAnsi="Calibri" w:cs="Calibri"/>
          <w:sz w:val="22"/>
          <w:szCs w:val="22"/>
        </w:rPr>
        <w:t>This objection draws on statutory obligations under the Town and Country Planning (Environmental Impact Assessment) Regulations 2017, and the following legal precedents:</w:t>
      </w:r>
    </w:p>
    <w:p w14:paraId="643BBBD7" w14:textId="77777777" w:rsidR="000E1E10" w:rsidRPr="00256312" w:rsidRDefault="000E1E10" w:rsidP="000E1E10">
      <w:pPr>
        <w:numPr>
          <w:ilvl w:val="0"/>
          <w:numId w:val="1"/>
        </w:numPr>
        <w:spacing w:line="240" w:lineRule="auto"/>
        <w:rPr>
          <w:rFonts w:ascii="Calibri" w:hAnsi="Calibri" w:cs="Calibri"/>
          <w:sz w:val="22"/>
          <w:szCs w:val="22"/>
        </w:rPr>
      </w:pPr>
      <w:r w:rsidRPr="00256312">
        <w:rPr>
          <w:rFonts w:ascii="Calibri" w:hAnsi="Calibri" w:cs="Calibri"/>
          <w:i/>
          <w:iCs/>
          <w:sz w:val="22"/>
          <w:szCs w:val="22"/>
        </w:rPr>
        <w:lastRenderedPageBreak/>
        <w:t>R (Finch) v Surrey County Council</w:t>
      </w:r>
      <w:r w:rsidRPr="00256312">
        <w:rPr>
          <w:rFonts w:ascii="Calibri" w:hAnsi="Calibri" w:cs="Calibri"/>
          <w:sz w:val="22"/>
          <w:szCs w:val="22"/>
        </w:rPr>
        <w:t xml:space="preserve"> [2024] UKSC 20,</w:t>
      </w:r>
    </w:p>
    <w:p w14:paraId="62A219D2" w14:textId="77777777" w:rsidR="000E1E10" w:rsidRDefault="000E1E10" w:rsidP="000E1E10">
      <w:pPr>
        <w:numPr>
          <w:ilvl w:val="0"/>
          <w:numId w:val="1"/>
        </w:numPr>
        <w:spacing w:line="240" w:lineRule="auto"/>
        <w:rPr>
          <w:rFonts w:ascii="Calibri" w:hAnsi="Calibri" w:cs="Calibri"/>
          <w:sz w:val="22"/>
          <w:szCs w:val="22"/>
        </w:rPr>
      </w:pPr>
      <w:r w:rsidRPr="00256312">
        <w:rPr>
          <w:rFonts w:ascii="Calibri" w:hAnsi="Calibri" w:cs="Calibri"/>
          <w:i/>
          <w:iCs/>
          <w:sz w:val="22"/>
          <w:szCs w:val="22"/>
        </w:rPr>
        <w:t>NFU v Herefordshire Council</w:t>
      </w:r>
      <w:r w:rsidRPr="00256312">
        <w:rPr>
          <w:rFonts w:ascii="Calibri" w:hAnsi="Calibri" w:cs="Calibri"/>
          <w:sz w:val="22"/>
          <w:szCs w:val="22"/>
        </w:rPr>
        <w:t xml:space="preserve"> [2025] EWHC 536 (Admin),</w:t>
      </w:r>
    </w:p>
    <w:p w14:paraId="7FC56AA5" w14:textId="77777777" w:rsidR="000E1E10" w:rsidRPr="00256312" w:rsidRDefault="000E1E10" w:rsidP="000E1E10">
      <w:pPr>
        <w:spacing w:line="240" w:lineRule="auto"/>
        <w:rPr>
          <w:rFonts w:ascii="Calibri" w:hAnsi="Calibri" w:cs="Calibri"/>
          <w:sz w:val="22"/>
          <w:szCs w:val="22"/>
        </w:rPr>
      </w:pPr>
      <w:r w:rsidRPr="00256312">
        <w:rPr>
          <w:rFonts w:ascii="Calibri" w:hAnsi="Calibri" w:cs="Calibri"/>
          <w:sz w:val="22"/>
          <w:szCs w:val="22"/>
        </w:rPr>
        <w:t>as well as recent refusals by planning authorities in Norfolk on comparable grounds.</w:t>
      </w:r>
    </w:p>
    <w:p w14:paraId="53994895" w14:textId="77777777" w:rsidR="000E1E10" w:rsidRPr="00256312" w:rsidRDefault="000E1E10" w:rsidP="000E1E10">
      <w:pPr>
        <w:spacing w:line="240" w:lineRule="auto"/>
        <w:rPr>
          <w:rFonts w:ascii="Calibri" w:hAnsi="Calibri" w:cs="Calibri"/>
          <w:b/>
          <w:bCs/>
          <w:sz w:val="22"/>
          <w:szCs w:val="22"/>
        </w:rPr>
      </w:pPr>
      <w:r w:rsidRPr="00256312">
        <w:rPr>
          <w:rFonts w:ascii="Calibri" w:hAnsi="Calibri" w:cs="Calibri"/>
          <w:b/>
          <w:bCs/>
          <w:sz w:val="22"/>
          <w:szCs w:val="22"/>
        </w:rPr>
        <w:t>1. Inadequate and Legally Deficient Greenhouse Gas Assessment</w:t>
      </w:r>
    </w:p>
    <w:p w14:paraId="57396A5D" w14:textId="37D247A2" w:rsidR="000E1E10" w:rsidRPr="00256312" w:rsidRDefault="000E1E10" w:rsidP="000E1E10">
      <w:pPr>
        <w:spacing w:line="240" w:lineRule="auto"/>
        <w:rPr>
          <w:rFonts w:ascii="Calibri" w:hAnsi="Calibri" w:cs="Calibri"/>
          <w:sz w:val="22"/>
          <w:szCs w:val="22"/>
        </w:rPr>
      </w:pPr>
      <w:r w:rsidRPr="26B10212">
        <w:rPr>
          <w:rFonts w:ascii="Calibri" w:hAnsi="Calibri" w:cs="Calibri"/>
          <w:sz w:val="22"/>
          <w:szCs w:val="22"/>
        </w:rPr>
        <w:t>The ES fails to quantify the likely climate impacts.</w:t>
      </w:r>
      <w:r w:rsidR="00812FB8" w:rsidRPr="26B10212">
        <w:rPr>
          <w:rFonts w:ascii="Calibri" w:hAnsi="Calibri" w:cs="Calibri"/>
          <w:sz w:val="22"/>
          <w:szCs w:val="22"/>
        </w:rPr>
        <w:t xml:space="preserve"> The climate section refers to construction and energy use, but omits downstream emissions, making the application non-compliant with the legal standard set in Finch</w:t>
      </w:r>
      <w:r w:rsidR="00337930" w:rsidRPr="26B10212">
        <w:rPr>
          <w:rFonts w:ascii="Calibri" w:hAnsi="Calibri" w:cs="Calibri"/>
          <w:sz w:val="22"/>
          <w:szCs w:val="22"/>
        </w:rPr>
        <w:t xml:space="preserve"> which </w:t>
      </w:r>
      <w:r w:rsidRPr="26B10212">
        <w:rPr>
          <w:rFonts w:ascii="Calibri" w:hAnsi="Calibri" w:cs="Calibri"/>
          <w:sz w:val="22"/>
          <w:szCs w:val="22"/>
        </w:rPr>
        <w:t>mandates the inclusion of “inevitable and quantifiable” direct and indirect emissions in an EIA. This broiler development:</w:t>
      </w:r>
    </w:p>
    <w:p w14:paraId="34D2A0A5" w14:textId="4C21E4F5" w:rsidR="000E1E10" w:rsidRPr="00256312" w:rsidRDefault="000E1E10" w:rsidP="000E1E10">
      <w:pPr>
        <w:numPr>
          <w:ilvl w:val="0"/>
          <w:numId w:val="2"/>
        </w:numPr>
        <w:spacing w:line="240" w:lineRule="auto"/>
        <w:rPr>
          <w:rFonts w:ascii="Calibri" w:hAnsi="Calibri" w:cs="Calibri"/>
          <w:sz w:val="22"/>
          <w:szCs w:val="22"/>
        </w:rPr>
      </w:pPr>
      <w:r w:rsidRPr="00256312">
        <w:rPr>
          <w:rFonts w:ascii="Calibri" w:hAnsi="Calibri" w:cs="Calibri"/>
          <w:sz w:val="22"/>
          <w:szCs w:val="22"/>
        </w:rPr>
        <w:t xml:space="preserve">Produces </w:t>
      </w:r>
      <w:r w:rsidR="00A86284">
        <w:rPr>
          <w:rFonts w:ascii="Calibri" w:hAnsi="Calibri" w:cs="Calibri"/>
          <w:sz w:val="22"/>
          <w:szCs w:val="22"/>
        </w:rPr>
        <w:t>1,2</w:t>
      </w:r>
      <w:r w:rsidR="00262E20">
        <w:rPr>
          <w:rFonts w:ascii="Calibri" w:hAnsi="Calibri" w:cs="Calibri"/>
          <w:sz w:val="22"/>
          <w:szCs w:val="22"/>
        </w:rPr>
        <w:t>00,000</w:t>
      </w:r>
      <w:r w:rsidRPr="00256312">
        <w:rPr>
          <w:rFonts w:ascii="Calibri" w:hAnsi="Calibri" w:cs="Calibri"/>
          <w:sz w:val="22"/>
          <w:szCs w:val="22"/>
        </w:rPr>
        <w:t xml:space="preserve"> birds per cycle;</w:t>
      </w:r>
    </w:p>
    <w:p w14:paraId="0F69BBE0" w14:textId="77777777" w:rsidR="000E1E10" w:rsidRPr="00256312" w:rsidRDefault="000E1E10" w:rsidP="000E1E10">
      <w:pPr>
        <w:numPr>
          <w:ilvl w:val="0"/>
          <w:numId w:val="2"/>
        </w:numPr>
        <w:spacing w:line="240" w:lineRule="auto"/>
        <w:rPr>
          <w:rFonts w:ascii="Calibri" w:hAnsi="Calibri" w:cs="Calibri"/>
          <w:sz w:val="22"/>
          <w:szCs w:val="22"/>
        </w:rPr>
      </w:pPr>
      <w:r w:rsidRPr="00256312">
        <w:rPr>
          <w:rFonts w:ascii="Calibri" w:hAnsi="Calibri" w:cs="Calibri"/>
          <w:sz w:val="22"/>
          <w:szCs w:val="22"/>
        </w:rPr>
        <w:t>Inevitably results in GHGs from feed, waste, transport, slaughter, retail, and consumption.</w:t>
      </w:r>
    </w:p>
    <w:p w14:paraId="6659435C" w14:textId="77777777" w:rsidR="000E1E10" w:rsidRPr="001D37BA" w:rsidRDefault="000E1E10" w:rsidP="000E1E10">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sz w:val="22"/>
          <w:szCs w:val="22"/>
        </w:rPr>
        <w:t xml:space="preserve">The Environmental Impact Assessment Regulations 2017 require that all likely significant environmental effects be rigorously assessed. This principle was reinforced by the Supreme Court in </w:t>
      </w:r>
      <w:hyperlink r:id="rId10" w:tgtFrame="_blank" w:history="1">
        <w:r w:rsidRPr="001D37BA">
          <w:rPr>
            <w:rStyle w:val="normaltextrun"/>
            <w:rFonts w:ascii="Calibri" w:hAnsi="Calibri" w:cs="Calibri"/>
            <w:color w:val="467886"/>
            <w:sz w:val="22"/>
            <w:szCs w:val="22"/>
            <w:u w:val="single"/>
          </w:rPr>
          <w:t>Finch v Surrey County Council [2024] UKSC 30</w:t>
        </w:r>
      </w:hyperlink>
      <w:r w:rsidRPr="001D37BA">
        <w:rPr>
          <w:rStyle w:val="normaltextrun"/>
          <w:rFonts w:ascii="Calibri" w:hAnsi="Calibri" w:cs="Calibri"/>
          <w:sz w:val="22"/>
          <w:szCs w:val="22"/>
        </w:rPr>
        <w:t>, which clarified that both direct and indirect emissions must be considered. Failure to do so has caused similar applications to be rendered unlawful.</w:t>
      </w:r>
      <w:r w:rsidRPr="001D37BA">
        <w:rPr>
          <w:rStyle w:val="eop"/>
          <w:rFonts w:ascii="Calibri" w:hAnsi="Calibri" w:cs="Calibri"/>
          <w:sz w:val="22"/>
          <w:szCs w:val="22"/>
        </w:rPr>
        <w:t> </w:t>
      </w:r>
    </w:p>
    <w:p w14:paraId="097A091A" w14:textId="77777777" w:rsidR="000E1E10" w:rsidRPr="001D37BA" w:rsidRDefault="000E1E10" w:rsidP="000E1E10">
      <w:pPr>
        <w:pStyle w:val="paragraph"/>
        <w:spacing w:before="0" w:beforeAutospacing="0" w:after="0" w:afterAutospacing="0"/>
        <w:textAlignment w:val="baseline"/>
        <w:rPr>
          <w:rStyle w:val="normaltextrun"/>
          <w:rFonts w:ascii="Calibri" w:hAnsi="Calibri" w:cs="Calibri"/>
          <w:sz w:val="22"/>
          <w:szCs w:val="22"/>
        </w:rPr>
      </w:pPr>
    </w:p>
    <w:p w14:paraId="25D068D5" w14:textId="6AA72581" w:rsidR="000E1E10" w:rsidRDefault="000E1E10" w:rsidP="00F03928">
      <w:pPr>
        <w:pStyle w:val="paragraph"/>
        <w:spacing w:before="0" w:beforeAutospacing="0" w:after="0" w:afterAutospacing="0"/>
        <w:textAlignment w:val="baseline"/>
        <w:rPr>
          <w:rStyle w:val="eop"/>
          <w:rFonts w:ascii="Calibri" w:hAnsi="Calibri" w:cs="Calibri"/>
          <w:sz w:val="22"/>
          <w:szCs w:val="22"/>
        </w:rPr>
      </w:pPr>
      <w:r w:rsidRPr="001D37BA">
        <w:rPr>
          <w:rStyle w:val="normaltextrun"/>
          <w:rFonts w:ascii="Calibri" w:hAnsi="Calibri" w:cs="Calibri"/>
          <w:sz w:val="22"/>
          <w:szCs w:val="22"/>
        </w:rPr>
        <w:t xml:space="preserve">King’s Lynn and West Norfolk Borough Council refused a similar application on precisely these grounds on 3 April 2025 with evidential support from Sustain, Feedback, WWF and local campaigners. They also cited legal risk of judicial review in the absence of a proper climate assessment. </w:t>
      </w:r>
      <w:r w:rsidRPr="001D37BA">
        <w:rPr>
          <w:rStyle w:val="eop"/>
          <w:rFonts w:ascii="Calibri" w:hAnsi="Calibri" w:cs="Calibri"/>
          <w:sz w:val="22"/>
          <w:szCs w:val="22"/>
        </w:rPr>
        <w:t> </w:t>
      </w:r>
    </w:p>
    <w:p w14:paraId="7D2AD7B0" w14:textId="77777777" w:rsidR="00F03928" w:rsidRPr="001D37BA" w:rsidRDefault="00F03928" w:rsidP="00F03928">
      <w:pPr>
        <w:pStyle w:val="paragraph"/>
        <w:spacing w:before="0" w:beforeAutospacing="0" w:after="0" w:afterAutospacing="0"/>
        <w:textAlignment w:val="baseline"/>
        <w:rPr>
          <w:rFonts w:ascii="Calibri" w:hAnsi="Calibri" w:cs="Calibri"/>
          <w:sz w:val="22"/>
          <w:szCs w:val="22"/>
        </w:rPr>
      </w:pPr>
    </w:p>
    <w:p w14:paraId="47527F0E" w14:textId="77777777" w:rsidR="000E1E10" w:rsidRPr="00256312" w:rsidRDefault="000E1E10" w:rsidP="000E1E10">
      <w:pPr>
        <w:spacing w:line="240" w:lineRule="auto"/>
        <w:rPr>
          <w:rFonts w:ascii="Calibri" w:hAnsi="Calibri" w:cs="Calibri"/>
          <w:sz w:val="22"/>
          <w:szCs w:val="22"/>
        </w:rPr>
      </w:pPr>
      <w:r w:rsidRPr="00256312">
        <w:rPr>
          <w:rFonts w:ascii="Calibri" w:hAnsi="Calibri" w:cs="Calibri"/>
          <w:sz w:val="22"/>
          <w:szCs w:val="22"/>
        </w:rPr>
        <w:t>To approve th</w:t>
      </w:r>
      <w:r w:rsidRPr="001D37BA">
        <w:rPr>
          <w:rFonts w:ascii="Calibri" w:hAnsi="Calibri" w:cs="Calibri"/>
          <w:sz w:val="22"/>
          <w:szCs w:val="22"/>
        </w:rPr>
        <w:t xml:space="preserve">is </w:t>
      </w:r>
      <w:r w:rsidRPr="00256312">
        <w:rPr>
          <w:rFonts w:ascii="Calibri" w:hAnsi="Calibri" w:cs="Calibri"/>
          <w:sz w:val="22"/>
          <w:szCs w:val="22"/>
        </w:rPr>
        <w:t>application on this basis risks rendering the decision unlawful and vulnerable to judicial review.</w:t>
      </w:r>
    </w:p>
    <w:p w14:paraId="42E12775" w14:textId="77777777" w:rsidR="000E1E10" w:rsidRPr="00256312" w:rsidRDefault="000E1E10" w:rsidP="000E1E10">
      <w:pPr>
        <w:spacing w:line="240" w:lineRule="auto"/>
        <w:rPr>
          <w:rFonts w:ascii="Calibri" w:hAnsi="Calibri" w:cs="Calibri"/>
          <w:b/>
          <w:bCs/>
          <w:sz w:val="22"/>
          <w:szCs w:val="22"/>
        </w:rPr>
      </w:pPr>
      <w:r w:rsidRPr="00256312">
        <w:rPr>
          <w:rFonts w:ascii="Calibri" w:hAnsi="Calibri" w:cs="Calibri"/>
          <w:b/>
          <w:bCs/>
          <w:sz w:val="22"/>
          <w:szCs w:val="22"/>
        </w:rPr>
        <w:t>2. Improper Reliance on Post-Approval Regulation</w:t>
      </w:r>
    </w:p>
    <w:p w14:paraId="52B39882" w14:textId="445BC46A" w:rsidR="000E1E10" w:rsidRPr="001D37BA" w:rsidRDefault="000E1E10" w:rsidP="000E1E10">
      <w:pPr>
        <w:spacing w:line="240" w:lineRule="auto"/>
        <w:rPr>
          <w:rFonts w:ascii="Calibri" w:hAnsi="Calibri" w:cs="Calibri"/>
          <w:sz w:val="22"/>
          <w:szCs w:val="22"/>
        </w:rPr>
      </w:pPr>
      <w:r w:rsidRPr="0B86FE8C">
        <w:rPr>
          <w:rFonts w:ascii="Calibri" w:hAnsi="Calibri" w:cs="Calibri"/>
          <w:sz w:val="22"/>
          <w:szCs w:val="22"/>
        </w:rPr>
        <w:t xml:space="preserve">The application improperly defers critical environmental controls - including waste, ammonia, water pollution, and odour - to the Environmental Permitting regime. As </w:t>
      </w:r>
      <w:r w:rsidRPr="0B86FE8C">
        <w:rPr>
          <w:rFonts w:ascii="Calibri" w:hAnsi="Calibri" w:cs="Calibri"/>
          <w:i/>
          <w:iCs/>
          <w:sz w:val="22"/>
          <w:szCs w:val="22"/>
        </w:rPr>
        <w:t>Finch</w:t>
      </w:r>
      <w:r w:rsidRPr="0B86FE8C">
        <w:rPr>
          <w:rFonts w:ascii="Calibri" w:hAnsi="Calibri" w:cs="Calibri"/>
          <w:sz w:val="22"/>
          <w:szCs w:val="22"/>
        </w:rPr>
        <w:t xml:space="preserve"> (para 108) and </w:t>
      </w:r>
      <w:hyperlink r:id="rId11">
        <w:r w:rsidR="1308D5DB" w:rsidRPr="0B86FE8C">
          <w:rPr>
            <w:rStyle w:val="normaltextrun"/>
            <w:rFonts w:ascii="Calibri" w:hAnsi="Calibri" w:cs="Calibri"/>
            <w:i/>
            <w:iCs/>
            <w:color w:val="467886"/>
            <w:sz w:val="22"/>
            <w:szCs w:val="22"/>
            <w:u w:val="single"/>
          </w:rPr>
          <w:t>The National Farmers’ Union v Herefordshire Counci</w:t>
        </w:r>
      </w:hyperlink>
      <w:r w:rsidR="00876715" w:rsidRPr="00876715">
        <w:rPr>
          <w:i/>
          <w:iCs/>
          <w:color w:val="0B769F" w:themeColor="accent4" w:themeShade="BF"/>
          <w:u w:val="single"/>
        </w:rPr>
        <w:t>l</w:t>
      </w:r>
      <w:r w:rsidRPr="00876715">
        <w:rPr>
          <w:rFonts w:ascii="Calibri" w:hAnsi="Calibri" w:cs="Calibri"/>
          <w:i/>
          <w:iCs/>
          <w:color w:val="4C94D8" w:themeColor="text2" w:themeTint="80"/>
          <w:sz w:val="22"/>
          <w:szCs w:val="22"/>
        </w:rPr>
        <w:t xml:space="preserve"> </w:t>
      </w:r>
      <w:r w:rsidRPr="0B86FE8C">
        <w:rPr>
          <w:rFonts w:ascii="Calibri" w:hAnsi="Calibri" w:cs="Calibri"/>
          <w:sz w:val="22"/>
          <w:szCs w:val="22"/>
        </w:rPr>
        <w:t>make clear, the existence of a parallel regulatory regime does not relieve the Council of its duty to assess these impacts during the planning stage.</w:t>
      </w:r>
    </w:p>
    <w:p w14:paraId="4EEE875F" w14:textId="77777777" w:rsidR="000E1E10" w:rsidRPr="001D37BA" w:rsidRDefault="000E1E10" w:rsidP="000E1E10">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color w:val="000000"/>
          <w:sz w:val="22"/>
          <w:szCs w:val="22"/>
        </w:rPr>
        <w:t xml:space="preserve">As set out in the judgment in </w:t>
      </w:r>
      <w:r w:rsidRPr="001D37BA">
        <w:rPr>
          <w:rStyle w:val="normaltextrun"/>
          <w:rFonts w:ascii="Calibri" w:hAnsi="Calibri" w:cs="Calibri"/>
          <w:i/>
          <w:iCs/>
          <w:color w:val="000000"/>
          <w:sz w:val="22"/>
          <w:szCs w:val="22"/>
        </w:rPr>
        <w:t>Finch, (paragraph 108)</w:t>
      </w:r>
      <w:r w:rsidRPr="001D37BA">
        <w:rPr>
          <w:rStyle w:val="eop"/>
          <w:rFonts w:ascii="Calibri" w:hAnsi="Calibri" w:cs="Calibri"/>
          <w:color w:val="000000"/>
          <w:sz w:val="22"/>
          <w:szCs w:val="22"/>
        </w:rPr>
        <w:t> </w:t>
      </w:r>
    </w:p>
    <w:p w14:paraId="2FCC20AD" w14:textId="77777777" w:rsidR="000E1E10" w:rsidRPr="001D37BA" w:rsidRDefault="000E1E10" w:rsidP="000E1E10">
      <w:pPr>
        <w:pStyle w:val="paragraph"/>
        <w:spacing w:before="0" w:beforeAutospacing="0" w:after="0" w:afterAutospacing="0"/>
        <w:textAlignment w:val="baseline"/>
        <w:rPr>
          <w:rStyle w:val="normaltextrun"/>
          <w:rFonts w:ascii="Calibri" w:hAnsi="Calibri" w:cs="Calibri"/>
          <w:i/>
          <w:iCs/>
          <w:color w:val="1F1F1F"/>
          <w:sz w:val="22"/>
          <w:szCs w:val="22"/>
        </w:rPr>
      </w:pPr>
    </w:p>
    <w:p w14:paraId="450E6C88" w14:textId="77777777" w:rsidR="000E1E10" w:rsidRPr="001D37BA" w:rsidRDefault="000E1E10" w:rsidP="000E1E10">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i/>
          <w:iCs/>
          <w:color w:val="1F1F1F"/>
          <w:sz w:val="22"/>
          <w:szCs w:val="22"/>
        </w:rPr>
        <w:t>"An assumption made for planning purposes that non-planning regimes will operate effectively to avoid or mitigate significant environmental effects does not remove the obligation to identify and assess in the EIA the effects which the planning authority is assuming will be avoided or mitigated.”</w:t>
      </w:r>
      <w:r w:rsidRPr="001D37BA">
        <w:rPr>
          <w:rStyle w:val="eop"/>
          <w:rFonts w:ascii="Calibri" w:hAnsi="Calibri" w:cs="Calibri"/>
          <w:color w:val="1F1F1F"/>
          <w:sz w:val="22"/>
          <w:szCs w:val="22"/>
        </w:rPr>
        <w:t> </w:t>
      </w:r>
    </w:p>
    <w:p w14:paraId="55667585" w14:textId="77777777" w:rsidR="000E1E10" w:rsidRPr="001D37BA" w:rsidRDefault="000E1E10" w:rsidP="000E1E10">
      <w:pPr>
        <w:pStyle w:val="paragraph"/>
        <w:shd w:val="clear" w:color="auto" w:fill="FFFFFF"/>
        <w:spacing w:before="0" w:beforeAutospacing="0" w:after="0" w:afterAutospacing="0"/>
        <w:textAlignment w:val="baseline"/>
        <w:rPr>
          <w:rStyle w:val="normaltextrun"/>
          <w:rFonts w:ascii="Calibri" w:hAnsi="Calibri" w:cs="Calibri"/>
          <w:color w:val="131314"/>
          <w:sz w:val="22"/>
          <w:szCs w:val="22"/>
        </w:rPr>
      </w:pPr>
    </w:p>
    <w:p w14:paraId="56B76088" w14:textId="77777777" w:rsidR="000E1E10" w:rsidRPr="001D37BA" w:rsidRDefault="000E1E10" w:rsidP="000E1E10">
      <w:pPr>
        <w:pStyle w:val="paragraph"/>
        <w:shd w:val="clear" w:color="auto" w:fill="FFFFFF"/>
        <w:spacing w:before="0" w:beforeAutospacing="0" w:after="0" w:afterAutospacing="0"/>
        <w:textAlignment w:val="baseline"/>
        <w:rPr>
          <w:rFonts w:ascii="Calibri" w:hAnsi="Calibri" w:cs="Calibri"/>
          <w:sz w:val="22"/>
          <w:szCs w:val="22"/>
        </w:rPr>
      </w:pPr>
      <w:r w:rsidRPr="001D37BA">
        <w:rPr>
          <w:rStyle w:val="normaltextrun"/>
          <w:rFonts w:ascii="Calibri" w:hAnsi="Calibri" w:cs="Calibri"/>
          <w:color w:val="131314"/>
          <w:sz w:val="22"/>
          <w:szCs w:val="22"/>
        </w:rPr>
        <w:t xml:space="preserve">The High Court judgment in </w:t>
      </w:r>
      <w:hyperlink r:id="rId12" w:tgtFrame="_blank" w:history="1">
        <w:r w:rsidRPr="001D37BA">
          <w:rPr>
            <w:rStyle w:val="normaltextrun"/>
            <w:rFonts w:ascii="Calibri" w:hAnsi="Calibri" w:cs="Calibri"/>
            <w:i/>
            <w:iCs/>
            <w:color w:val="467886"/>
            <w:sz w:val="22"/>
            <w:szCs w:val="22"/>
            <w:u w:val="single"/>
            <w:shd w:val="clear" w:color="auto" w:fill="E1E3E6"/>
          </w:rPr>
          <w:t>The National Farmers’ Union v Herefordshire Council</w:t>
        </w:r>
      </w:hyperlink>
      <w:r w:rsidRPr="001D37BA">
        <w:rPr>
          <w:rStyle w:val="normaltextrun"/>
          <w:rFonts w:ascii="Calibri" w:hAnsi="Calibri" w:cs="Calibri"/>
          <w:i/>
          <w:iCs/>
          <w:color w:val="131314"/>
          <w:sz w:val="22"/>
          <w:szCs w:val="22"/>
        </w:rPr>
        <w:t xml:space="preserve"> </w:t>
      </w:r>
      <w:r w:rsidRPr="001D37BA">
        <w:rPr>
          <w:rStyle w:val="normaltextrun"/>
          <w:rFonts w:ascii="Calibri" w:hAnsi="Calibri" w:cs="Calibri"/>
          <w:color w:val="131314"/>
          <w:sz w:val="22"/>
          <w:szCs w:val="22"/>
        </w:rPr>
        <w:t xml:space="preserve">holds that relying on non-planning regimes like Environmental Permits may be insufficient to prevent environmental pollution and confirms that planning authorities can and should require additional action where there is evidence of harm. </w:t>
      </w:r>
      <w:r w:rsidRPr="001D37BA">
        <w:rPr>
          <w:rStyle w:val="eop"/>
          <w:rFonts w:ascii="Calibri" w:hAnsi="Calibri" w:cs="Calibri"/>
          <w:color w:val="131314"/>
          <w:sz w:val="22"/>
          <w:szCs w:val="22"/>
        </w:rPr>
        <w:t> </w:t>
      </w:r>
    </w:p>
    <w:p w14:paraId="53FF2CDA" w14:textId="77777777" w:rsidR="000E1E10" w:rsidRPr="001D37BA" w:rsidRDefault="000E1E10" w:rsidP="000E1E10">
      <w:pPr>
        <w:pStyle w:val="paragraph"/>
        <w:shd w:val="clear" w:color="auto" w:fill="FFFFFF"/>
        <w:spacing w:before="0" w:beforeAutospacing="0" w:after="0" w:afterAutospacing="0"/>
        <w:textAlignment w:val="baseline"/>
        <w:rPr>
          <w:rStyle w:val="normaltextrun"/>
          <w:rFonts w:ascii="Calibri" w:hAnsi="Calibri" w:cs="Calibri"/>
          <w:color w:val="131314"/>
          <w:sz w:val="22"/>
          <w:szCs w:val="22"/>
        </w:rPr>
      </w:pPr>
    </w:p>
    <w:p w14:paraId="7F68932A" w14:textId="77777777" w:rsidR="000E1E10" w:rsidRPr="001D37BA" w:rsidRDefault="000E1E10" w:rsidP="000E1E10">
      <w:pPr>
        <w:pStyle w:val="paragraph"/>
        <w:shd w:val="clear" w:color="auto" w:fill="FFFFFF"/>
        <w:spacing w:before="0" w:beforeAutospacing="0" w:after="0" w:afterAutospacing="0"/>
        <w:textAlignment w:val="baseline"/>
        <w:rPr>
          <w:rFonts w:ascii="Calibri" w:hAnsi="Calibri" w:cs="Calibri"/>
          <w:sz w:val="22"/>
          <w:szCs w:val="22"/>
        </w:rPr>
      </w:pPr>
      <w:r w:rsidRPr="001D37BA">
        <w:rPr>
          <w:rStyle w:val="normaltextrun"/>
          <w:rFonts w:ascii="Calibri" w:hAnsi="Calibri" w:cs="Calibri"/>
          <w:color w:val="131314"/>
          <w:sz w:val="22"/>
          <w:szCs w:val="22"/>
        </w:rPr>
        <w:t>In the Herefordshire Council case, despite the existence of a variety of environmental protection and permitting regimes in the area, significant pollution issues persist, with agriculture identified as a major contributor. Mrs Justice Lieven judged that "to assume that the regulatory approaches currently being taken are effective to prevent environmental harm would be contrary to the undisputed evidential position".</w:t>
      </w:r>
      <w:r w:rsidRPr="001D37BA">
        <w:rPr>
          <w:rStyle w:val="eop"/>
          <w:rFonts w:ascii="Calibri" w:hAnsi="Calibri" w:cs="Calibri"/>
          <w:color w:val="131314"/>
          <w:sz w:val="22"/>
          <w:szCs w:val="22"/>
        </w:rPr>
        <w:t> </w:t>
      </w:r>
    </w:p>
    <w:p w14:paraId="69E2A8A4" w14:textId="77777777" w:rsidR="000E1E10" w:rsidRPr="001D37BA" w:rsidRDefault="000E1E10" w:rsidP="000E1E10">
      <w:pPr>
        <w:pStyle w:val="paragraph"/>
        <w:shd w:val="clear" w:color="auto" w:fill="FFFFFF"/>
        <w:spacing w:before="0" w:beforeAutospacing="0" w:after="0" w:afterAutospacing="0"/>
        <w:textAlignment w:val="baseline"/>
        <w:rPr>
          <w:rStyle w:val="normaltextrun"/>
          <w:rFonts w:ascii="Calibri" w:hAnsi="Calibri" w:cs="Calibri"/>
          <w:color w:val="131314"/>
          <w:sz w:val="22"/>
          <w:szCs w:val="22"/>
        </w:rPr>
      </w:pPr>
    </w:p>
    <w:p w14:paraId="376C9B7B" w14:textId="77777777" w:rsidR="000E1E10" w:rsidRPr="001D37BA" w:rsidRDefault="000E1E10" w:rsidP="000E1E10">
      <w:pPr>
        <w:pStyle w:val="paragraph"/>
        <w:shd w:val="clear" w:color="auto" w:fill="FFFFFF"/>
        <w:spacing w:before="0" w:beforeAutospacing="0" w:after="0" w:afterAutospacing="0"/>
        <w:textAlignment w:val="baseline"/>
        <w:rPr>
          <w:rFonts w:ascii="Calibri" w:hAnsi="Calibri" w:cs="Calibri"/>
          <w:sz w:val="22"/>
          <w:szCs w:val="22"/>
        </w:rPr>
      </w:pPr>
      <w:r w:rsidRPr="001D37BA">
        <w:rPr>
          <w:rStyle w:val="normaltextrun"/>
          <w:rFonts w:ascii="Calibri" w:hAnsi="Calibri" w:cs="Calibri"/>
          <w:color w:val="131314"/>
          <w:sz w:val="22"/>
          <w:szCs w:val="22"/>
        </w:rPr>
        <w:lastRenderedPageBreak/>
        <w:t xml:space="preserve">The above judgment notes that a local planning authority must assess whether other regimes are capable of adequately addressing issues. It references </w:t>
      </w:r>
      <w:r w:rsidRPr="001D37BA">
        <w:rPr>
          <w:rStyle w:val="normaltextrun"/>
          <w:rFonts w:ascii="Calibri" w:hAnsi="Calibri" w:cs="Calibri"/>
          <w:color w:val="000000"/>
          <w:sz w:val="22"/>
          <w:szCs w:val="22"/>
        </w:rPr>
        <w:t>Thornton J’s summary in Vanbrugh Court Residents’ Association v London Borough of Lambeth [2022] EWHC 1207 (Admin) at [23]: </w:t>
      </w:r>
      <w:r w:rsidRPr="001D37BA">
        <w:rPr>
          <w:rStyle w:val="eop"/>
          <w:rFonts w:ascii="Calibri" w:hAnsi="Calibri" w:cs="Calibri"/>
          <w:color w:val="000000"/>
          <w:sz w:val="22"/>
          <w:szCs w:val="22"/>
        </w:rPr>
        <w:t> </w:t>
      </w:r>
    </w:p>
    <w:p w14:paraId="5C9599D8" w14:textId="77777777" w:rsidR="000E1E10" w:rsidRPr="001D37BA" w:rsidRDefault="000E1E10" w:rsidP="000E1E10">
      <w:pPr>
        <w:pStyle w:val="paragraph"/>
        <w:shd w:val="clear" w:color="auto" w:fill="FFFFFF"/>
        <w:spacing w:before="0" w:beforeAutospacing="0" w:after="0" w:afterAutospacing="0"/>
        <w:textAlignment w:val="baseline"/>
        <w:rPr>
          <w:rStyle w:val="normaltextrun"/>
          <w:rFonts w:ascii="Calibri" w:hAnsi="Calibri" w:cs="Calibri"/>
          <w:i/>
          <w:iCs/>
          <w:color w:val="000000"/>
          <w:sz w:val="22"/>
          <w:szCs w:val="22"/>
        </w:rPr>
      </w:pPr>
    </w:p>
    <w:p w14:paraId="723BDD57" w14:textId="77777777" w:rsidR="000E1E10" w:rsidRPr="001D37BA" w:rsidRDefault="000E1E10" w:rsidP="000E1E10">
      <w:pPr>
        <w:pStyle w:val="paragraph"/>
        <w:shd w:val="clear" w:color="auto" w:fill="FFFFFF"/>
        <w:spacing w:before="0" w:beforeAutospacing="0" w:after="0" w:afterAutospacing="0"/>
        <w:textAlignment w:val="baseline"/>
        <w:rPr>
          <w:rFonts w:ascii="Calibri" w:hAnsi="Calibri" w:cs="Calibri"/>
          <w:sz w:val="22"/>
          <w:szCs w:val="22"/>
        </w:rPr>
      </w:pPr>
      <w:r w:rsidRPr="001D37BA">
        <w:rPr>
          <w:rStyle w:val="normaltextrun"/>
          <w:rFonts w:ascii="Calibri" w:hAnsi="Calibri" w:cs="Calibri"/>
          <w:i/>
          <w:iCs/>
          <w:color w:val="000000"/>
          <w:sz w:val="22"/>
          <w:szCs w:val="22"/>
        </w:rPr>
        <w:t>“[A] local planning authority is entitled to place reliance upon the effective operation of the other regulatory regime(s) in determining an application for planning permission. However, it cannot simply ignore the issues in question. It must assess them sufficiently so as to be able to satisfy itself that the other regulatory regime is capable of regulating the relevant issues. If it is not satisfied, then consent must be refused. The existence of the other regulatory regime is a material planning consideration, to be weighed in the balance. Gateshead MBC v Secretary of State for the Environment 1995 Env. LR 37 at [44] &amp; [49] and R(Bailey) v Secretary of State for Business, Enterprise &amp; Regulatory Reform [2008] EWHC 1257 (Admin) at [13]).”</w:t>
      </w:r>
      <w:r w:rsidRPr="001D37BA">
        <w:rPr>
          <w:rStyle w:val="eop"/>
          <w:rFonts w:ascii="Calibri" w:hAnsi="Calibri" w:cs="Calibri"/>
          <w:color w:val="000000"/>
          <w:sz w:val="22"/>
          <w:szCs w:val="22"/>
        </w:rPr>
        <w:t> </w:t>
      </w:r>
    </w:p>
    <w:p w14:paraId="7DA745B1" w14:textId="77777777" w:rsidR="000E1E10" w:rsidRPr="001D37BA" w:rsidRDefault="000E1E10" w:rsidP="000E1E10">
      <w:pPr>
        <w:pStyle w:val="paragraph"/>
        <w:spacing w:before="0" w:beforeAutospacing="0" w:after="0" w:afterAutospacing="0"/>
        <w:textAlignment w:val="baseline"/>
        <w:rPr>
          <w:rStyle w:val="normaltextrun"/>
          <w:rFonts w:ascii="Calibri" w:hAnsi="Calibri" w:cs="Calibri"/>
          <w:sz w:val="22"/>
          <w:szCs w:val="22"/>
        </w:rPr>
      </w:pPr>
    </w:p>
    <w:p w14:paraId="34EC377D" w14:textId="77777777" w:rsidR="00197378" w:rsidRDefault="000E1E10" w:rsidP="000E1E10">
      <w:pPr>
        <w:pStyle w:val="paragraph"/>
        <w:spacing w:before="0" w:beforeAutospacing="0" w:after="0" w:afterAutospacing="0"/>
        <w:textAlignment w:val="baseline"/>
        <w:rPr>
          <w:rStyle w:val="normaltextrun"/>
          <w:rFonts w:ascii="Calibri" w:hAnsi="Calibri" w:cs="Calibri"/>
          <w:sz w:val="22"/>
          <w:szCs w:val="22"/>
        </w:rPr>
      </w:pPr>
      <w:r w:rsidRPr="001D37BA">
        <w:rPr>
          <w:rStyle w:val="normaltextrun"/>
          <w:rFonts w:ascii="Calibri" w:hAnsi="Calibri" w:cs="Calibri"/>
          <w:sz w:val="22"/>
          <w:szCs w:val="22"/>
        </w:rPr>
        <w:t>Indeed</w:t>
      </w:r>
      <w:hyperlink r:id="rId13" w:tgtFrame="_blank" w:history="1">
        <w:r w:rsidRPr="001D37BA">
          <w:rPr>
            <w:rStyle w:val="normaltextrun"/>
            <w:rFonts w:ascii="Calibri" w:hAnsi="Calibri" w:cs="Calibri"/>
            <w:color w:val="467886"/>
            <w:sz w:val="22"/>
            <w:szCs w:val="22"/>
            <w:u w:val="single"/>
          </w:rPr>
          <w:t>, a recent joint investigation</w:t>
        </w:r>
      </w:hyperlink>
      <w:r w:rsidRPr="001D37BA">
        <w:rPr>
          <w:rStyle w:val="normaltextrun"/>
          <w:rFonts w:ascii="Calibri" w:hAnsi="Calibri" w:cs="Calibri"/>
          <w:sz w:val="22"/>
          <w:szCs w:val="22"/>
        </w:rPr>
        <w:t xml:space="preserve"> by Sustain and Feedback uncovered over 700 breaches of environmental permits across intensive livestock farms </w:t>
      </w:r>
      <w:r>
        <w:rPr>
          <w:rStyle w:val="normaltextrun"/>
          <w:rFonts w:ascii="Calibri" w:hAnsi="Calibri" w:cs="Calibri"/>
          <w:sz w:val="22"/>
          <w:szCs w:val="22"/>
        </w:rPr>
        <w:t>in East Anglia between 2017-2024</w:t>
      </w:r>
      <w:r w:rsidRPr="001D37BA">
        <w:rPr>
          <w:rStyle w:val="normaltextrun"/>
          <w:rFonts w:ascii="Calibri" w:hAnsi="Calibri" w:cs="Calibri"/>
          <w:sz w:val="22"/>
          <w:szCs w:val="22"/>
        </w:rPr>
        <w:t xml:space="preserve">. These breaches included unregulated slurry spreading, exceedance of permitted emission thresholds, and improper waste handling often with limited enforcement action by the Environment Agency. </w:t>
      </w:r>
    </w:p>
    <w:p w14:paraId="15299782" w14:textId="2B11A63F" w:rsidR="000E1E10" w:rsidRDefault="000E1E10" w:rsidP="000E1E1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Freedom of Information data seen by Sustain shows intensive livestock units breached environment agency regulations a total of </w:t>
      </w:r>
      <w:r w:rsidR="002D3670">
        <w:rPr>
          <w:rStyle w:val="normaltextrun"/>
          <w:rFonts w:ascii="Calibri" w:hAnsi="Calibri" w:cs="Calibri"/>
          <w:sz w:val="22"/>
          <w:szCs w:val="22"/>
        </w:rPr>
        <w:t>223</w:t>
      </w:r>
      <w:r>
        <w:rPr>
          <w:rStyle w:val="normaltextrun"/>
          <w:rFonts w:ascii="Calibri" w:hAnsi="Calibri" w:cs="Calibri"/>
          <w:sz w:val="22"/>
          <w:szCs w:val="22"/>
        </w:rPr>
        <w:t xml:space="preserve"> times in </w:t>
      </w:r>
      <w:r w:rsidR="002D3670">
        <w:rPr>
          <w:rStyle w:val="normaltextrun"/>
          <w:rFonts w:ascii="Calibri" w:hAnsi="Calibri" w:cs="Calibri"/>
          <w:sz w:val="22"/>
          <w:szCs w:val="22"/>
        </w:rPr>
        <w:t xml:space="preserve">Shropshire over </w:t>
      </w:r>
      <w:r>
        <w:rPr>
          <w:rStyle w:val="normaltextrun"/>
          <w:rFonts w:ascii="Calibri" w:hAnsi="Calibri" w:cs="Calibri"/>
          <w:sz w:val="22"/>
          <w:szCs w:val="22"/>
        </w:rPr>
        <w:t>the last 10 years.</w:t>
      </w:r>
      <w:r w:rsidR="00197378" w:rsidRPr="00197378">
        <w:t xml:space="preserve"> </w:t>
      </w:r>
      <w:r w:rsidR="00197378">
        <w:rPr>
          <w:rStyle w:val="normaltextrun"/>
          <w:rFonts w:ascii="Calibri" w:hAnsi="Calibri" w:cs="Calibri"/>
          <w:sz w:val="22"/>
          <w:szCs w:val="22"/>
        </w:rPr>
        <w:t>The data, provided by the Environment Agency, shows</w:t>
      </w:r>
      <w:r w:rsidR="00197378" w:rsidRPr="00197378">
        <w:rPr>
          <w:rStyle w:val="normaltextrun"/>
          <w:rFonts w:ascii="Calibri" w:hAnsi="Calibri" w:cs="Calibri"/>
          <w:sz w:val="22"/>
          <w:szCs w:val="22"/>
        </w:rPr>
        <w:t xml:space="preserve"> </w:t>
      </w:r>
      <w:r w:rsidR="00197378">
        <w:rPr>
          <w:rStyle w:val="normaltextrun"/>
          <w:rFonts w:ascii="Calibri" w:hAnsi="Calibri" w:cs="Calibri"/>
          <w:sz w:val="22"/>
          <w:szCs w:val="22"/>
        </w:rPr>
        <w:t xml:space="preserve">a clear pattern </w:t>
      </w:r>
      <w:r w:rsidR="00197378" w:rsidRPr="00197378">
        <w:rPr>
          <w:rStyle w:val="normaltextrun"/>
          <w:rFonts w:ascii="Calibri" w:hAnsi="Calibri" w:cs="Calibri"/>
          <w:sz w:val="22"/>
          <w:szCs w:val="22"/>
        </w:rPr>
        <w:t xml:space="preserve">of moderate but consistent regulatory breaches, primarily linked to poor site maintenance and lax operational controls. </w:t>
      </w:r>
      <w:r w:rsidR="00197378">
        <w:rPr>
          <w:rStyle w:val="normaltextrun"/>
          <w:rFonts w:ascii="Calibri" w:hAnsi="Calibri" w:cs="Calibri"/>
          <w:sz w:val="22"/>
          <w:szCs w:val="22"/>
        </w:rPr>
        <w:t>The</w:t>
      </w:r>
      <w:r w:rsidR="00197378" w:rsidRPr="00197378">
        <w:rPr>
          <w:rStyle w:val="normaltextrun"/>
          <w:rFonts w:ascii="Calibri" w:hAnsi="Calibri" w:cs="Calibri"/>
          <w:sz w:val="22"/>
          <w:szCs w:val="22"/>
        </w:rPr>
        <w:t xml:space="preserve"> volume and repetition of these issues suggest systemic weaknesses that could impact animal welfare, local environments, and regulatory confidence.</w:t>
      </w:r>
    </w:p>
    <w:p w14:paraId="77A6019B" w14:textId="77777777" w:rsidR="000E1E10" w:rsidRPr="001D37BA" w:rsidRDefault="000E1E10" w:rsidP="000E1E10">
      <w:pPr>
        <w:pStyle w:val="paragraph"/>
        <w:spacing w:before="0" w:beforeAutospacing="0" w:after="0" w:afterAutospacing="0"/>
        <w:textAlignment w:val="baseline"/>
        <w:rPr>
          <w:rStyle w:val="normaltextrun"/>
          <w:rFonts w:ascii="Calibri" w:hAnsi="Calibri" w:cs="Calibri"/>
          <w:sz w:val="22"/>
          <w:szCs w:val="22"/>
        </w:rPr>
      </w:pPr>
    </w:p>
    <w:p w14:paraId="36989E08" w14:textId="4468B177" w:rsidR="000E1E10" w:rsidRPr="001D37BA" w:rsidRDefault="00197378" w:rsidP="000E1E10">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Mounting</w:t>
      </w:r>
      <w:r w:rsidR="000E1E10" w:rsidRPr="001D37BA">
        <w:rPr>
          <w:rStyle w:val="normaltextrun"/>
          <w:rFonts w:ascii="Calibri" w:hAnsi="Calibri" w:cs="Calibri"/>
          <w:sz w:val="22"/>
          <w:szCs w:val="22"/>
        </w:rPr>
        <w:t xml:space="preserve"> evidence points to an ineffectiveness of non-planning regimes as a safeguard in this case. The development risks significant impacts on the environment and public health, contrary to the aims of local and national planning policy.</w:t>
      </w:r>
      <w:r w:rsidR="000E1E10" w:rsidRPr="001D37BA">
        <w:rPr>
          <w:rStyle w:val="eop"/>
          <w:rFonts w:ascii="Calibri" w:hAnsi="Calibri" w:cs="Calibri"/>
          <w:sz w:val="22"/>
          <w:szCs w:val="22"/>
        </w:rPr>
        <w:t> </w:t>
      </w:r>
    </w:p>
    <w:p w14:paraId="17F3632A" w14:textId="77777777" w:rsidR="000E1E10" w:rsidRPr="00256312" w:rsidRDefault="000E1E10" w:rsidP="000E1E10">
      <w:pPr>
        <w:spacing w:line="240" w:lineRule="auto"/>
        <w:rPr>
          <w:rFonts w:ascii="Calibri" w:hAnsi="Calibri" w:cs="Calibri"/>
          <w:sz w:val="22"/>
          <w:szCs w:val="22"/>
        </w:rPr>
      </w:pPr>
    </w:p>
    <w:p w14:paraId="6F2FF5F5" w14:textId="77777777" w:rsidR="000E1E10" w:rsidRPr="00256312" w:rsidRDefault="000E1E10" w:rsidP="000E1E10">
      <w:pPr>
        <w:spacing w:line="240" w:lineRule="auto"/>
        <w:rPr>
          <w:rFonts w:ascii="Calibri" w:hAnsi="Calibri" w:cs="Calibri"/>
          <w:b/>
          <w:bCs/>
          <w:sz w:val="22"/>
          <w:szCs w:val="22"/>
        </w:rPr>
      </w:pPr>
      <w:r w:rsidRPr="00256312">
        <w:rPr>
          <w:rFonts w:ascii="Calibri" w:hAnsi="Calibri" w:cs="Calibri"/>
          <w:b/>
          <w:bCs/>
          <w:sz w:val="22"/>
          <w:szCs w:val="22"/>
        </w:rPr>
        <w:t>3. Absence of Waste Management Plan and Nutrient Pollution Risk</w:t>
      </w:r>
    </w:p>
    <w:p w14:paraId="1DFB9E95" w14:textId="77777777" w:rsidR="000E1E10" w:rsidRPr="00256312" w:rsidRDefault="000E1E10" w:rsidP="000E1E10">
      <w:pPr>
        <w:spacing w:line="240" w:lineRule="auto"/>
        <w:rPr>
          <w:rFonts w:ascii="Calibri" w:hAnsi="Calibri" w:cs="Calibri"/>
          <w:sz w:val="22"/>
          <w:szCs w:val="22"/>
        </w:rPr>
      </w:pPr>
      <w:r w:rsidRPr="00256312">
        <w:rPr>
          <w:rFonts w:ascii="Calibri" w:hAnsi="Calibri" w:cs="Calibri"/>
          <w:sz w:val="22"/>
          <w:szCs w:val="22"/>
        </w:rPr>
        <w:t>No Waste Management Plan has been submitted with the ES. This is a serious omission:</w:t>
      </w:r>
    </w:p>
    <w:p w14:paraId="58FF873B" w14:textId="059706D8" w:rsidR="000E1E10" w:rsidRPr="00256312" w:rsidRDefault="000E1E10" w:rsidP="000E1E10">
      <w:pPr>
        <w:numPr>
          <w:ilvl w:val="0"/>
          <w:numId w:val="3"/>
        </w:numPr>
        <w:spacing w:line="240" w:lineRule="auto"/>
        <w:rPr>
          <w:rFonts w:ascii="Calibri" w:hAnsi="Calibri" w:cs="Calibri"/>
          <w:sz w:val="22"/>
          <w:szCs w:val="22"/>
        </w:rPr>
      </w:pPr>
      <w:r w:rsidRPr="00256312">
        <w:rPr>
          <w:rFonts w:ascii="Calibri" w:hAnsi="Calibri" w:cs="Calibri"/>
          <w:sz w:val="22"/>
          <w:szCs w:val="22"/>
        </w:rPr>
        <w:t>The</w:t>
      </w:r>
      <w:r w:rsidR="008B52AE">
        <w:rPr>
          <w:rFonts w:ascii="Calibri" w:hAnsi="Calibri" w:cs="Calibri"/>
          <w:sz w:val="22"/>
          <w:szCs w:val="22"/>
        </w:rPr>
        <w:t xml:space="preserve"> statement estimates that the </w:t>
      </w:r>
      <w:r w:rsidRPr="00256312">
        <w:rPr>
          <w:rFonts w:ascii="Calibri" w:hAnsi="Calibri" w:cs="Calibri"/>
          <w:sz w:val="22"/>
          <w:szCs w:val="22"/>
        </w:rPr>
        <w:t xml:space="preserve">facility will produce </w:t>
      </w:r>
      <w:r w:rsidR="00A301D5">
        <w:rPr>
          <w:rFonts w:ascii="Calibri" w:hAnsi="Calibri" w:cs="Calibri"/>
          <w:sz w:val="22"/>
          <w:szCs w:val="22"/>
        </w:rPr>
        <w:t xml:space="preserve">1500 </w:t>
      </w:r>
      <w:r w:rsidRPr="00256312">
        <w:rPr>
          <w:rFonts w:ascii="Calibri" w:hAnsi="Calibri" w:cs="Calibri"/>
          <w:sz w:val="22"/>
          <w:szCs w:val="22"/>
        </w:rPr>
        <w:t xml:space="preserve">tonnes of poultry litter, manure, and wash water per </w:t>
      </w:r>
      <w:r w:rsidR="00A301D5">
        <w:rPr>
          <w:rFonts w:ascii="Calibri" w:hAnsi="Calibri" w:cs="Calibri"/>
          <w:sz w:val="22"/>
          <w:szCs w:val="22"/>
        </w:rPr>
        <w:t>annum</w:t>
      </w:r>
      <w:r w:rsidRPr="00256312">
        <w:rPr>
          <w:rFonts w:ascii="Calibri" w:hAnsi="Calibri" w:cs="Calibri"/>
          <w:sz w:val="22"/>
          <w:szCs w:val="22"/>
        </w:rPr>
        <w:t>.</w:t>
      </w:r>
    </w:p>
    <w:p w14:paraId="5DF3B8C0" w14:textId="77777777" w:rsidR="000E1E10" w:rsidRPr="00256312" w:rsidRDefault="000E1E10" w:rsidP="000E1E10">
      <w:pPr>
        <w:numPr>
          <w:ilvl w:val="0"/>
          <w:numId w:val="3"/>
        </w:numPr>
        <w:spacing w:line="240" w:lineRule="auto"/>
        <w:rPr>
          <w:rFonts w:ascii="Calibri" w:hAnsi="Calibri" w:cs="Calibri"/>
          <w:sz w:val="22"/>
          <w:szCs w:val="22"/>
        </w:rPr>
      </w:pPr>
      <w:r w:rsidRPr="00256312">
        <w:rPr>
          <w:rFonts w:ascii="Calibri" w:hAnsi="Calibri" w:cs="Calibri"/>
          <w:sz w:val="22"/>
          <w:szCs w:val="22"/>
        </w:rPr>
        <w:t>No information is provided on how this material will be stored, treated, spread, or exported.</w:t>
      </w:r>
    </w:p>
    <w:p w14:paraId="0E0BC17E" w14:textId="49D4E9EB" w:rsidR="00A301D5" w:rsidRDefault="00A301D5" w:rsidP="00A301D5">
      <w:pPr>
        <w:spacing w:line="240" w:lineRule="auto"/>
        <w:rPr>
          <w:rFonts w:ascii="Calibri" w:hAnsi="Calibri" w:cs="Calibri"/>
          <w:sz w:val="22"/>
          <w:szCs w:val="22"/>
        </w:rPr>
      </w:pPr>
      <w:r>
        <w:rPr>
          <w:rFonts w:ascii="Calibri" w:hAnsi="Calibri" w:cs="Calibri"/>
          <w:sz w:val="22"/>
          <w:szCs w:val="22"/>
        </w:rPr>
        <w:t>From Section 6.2</w:t>
      </w:r>
      <w:r w:rsidR="00541B7B">
        <w:rPr>
          <w:rFonts w:ascii="Calibri" w:hAnsi="Calibri" w:cs="Calibri"/>
          <w:sz w:val="22"/>
          <w:szCs w:val="22"/>
        </w:rPr>
        <w:t xml:space="preserve"> of the Environmental Statement:</w:t>
      </w:r>
    </w:p>
    <w:p w14:paraId="0C73C8C1" w14:textId="592225AA" w:rsidR="00A301D5" w:rsidRPr="00A301D5" w:rsidRDefault="00A301D5" w:rsidP="00A301D5">
      <w:pPr>
        <w:spacing w:line="240" w:lineRule="auto"/>
        <w:rPr>
          <w:rFonts w:ascii="Calibri" w:hAnsi="Calibri" w:cs="Calibri"/>
          <w:i/>
          <w:iCs/>
          <w:sz w:val="22"/>
          <w:szCs w:val="22"/>
        </w:rPr>
      </w:pPr>
      <w:r w:rsidRPr="00A301D5">
        <w:rPr>
          <w:rFonts w:ascii="Calibri" w:hAnsi="Calibri" w:cs="Calibri"/>
          <w:i/>
          <w:iCs/>
          <w:sz w:val="22"/>
          <w:szCs w:val="22"/>
        </w:rPr>
        <w:t>"Waste such as poultry manure will be managed under the requirements of the Environmental Permit and the Manure Management Plan associated with it."</w:t>
      </w:r>
    </w:p>
    <w:p w14:paraId="448020E8" w14:textId="18C81597" w:rsidR="00A301D5" w:rsidRPr="00A301D5" w:rsidRDefault="00A301D5" w:rsidP="00A301D5">
      <w:pPr>
        <w:spacing w:line="240" w:lineRule="auto"/>
        <w:rPr>
          <w:rFonts w:ascii="Calibri" w:hAnsi="Calibri" w:cs="Calibri"/>
          <w:sz w:val="22"/>
          <w:szCs w:val="22"/>
        </w:rPr>
      </w:pPr>
      <w:r w:rsidRPr="00A301D5">
        <w:rPr>
          <w:rFonts w:ascii="Calibri" w:hAnsi="Calibri" w:cs="Calibri"/>
          <w:sz w:val="22"/>
          <w:szCs w:val="22"/>
        </w:rPr>
        <w:t>There is no risk mapping, no land</w:t>
      </w:r>
      <w:r>
        <w:rPr>
          <w:rFonts w:ascii="Calibri" w:hAnsi="Calibri" w:cs="Calibri"/>
          <w:sz w:val="22"/>
          <w:szCs w:val="22"/>
        </w:rPr>
        <w:t xml:space="preserve"> s</w:t>
      </w:r>
      <w:r w:rsidRPr="00A301D5">
        <w:rPr>
          <w:rFonts w:ascii="Calibri" w:hAnsi="Calibri" w:cs="Calibri"/>
          <w:sz w:val="22"/>
          <w:szCs w:val="22"/>
        </w:rPr>
        <w:t>preading agreements, no nutrient budget, and no site-specific pollution mitigation strategy.</w:t>
      </w:r>
    </w:p>
    <w:p w14:paraId="6A03812D" w14:textId="3550FE7F" w:rsidR="000E1E10" w:rsidRDefault="00D91EFE" w:rsidP="00A301D5">
      <w:pPr>
        <w:spacing w:line="240" w:lineRule="auto"/>
        <w:rPr>
          <w:rFonts w:ascii="Calibri" w:hAnsi="Calibri" w:cs="Calibri"/>
          <w:sz w:val="22"/>
          <w:szCs w:val="22"/>
        </w:rPr>
      </w:pPr>
      <w:r>
        <w:rPr>
          <w:rFonts w:ascii="Calibri" w:hAnsi="Calibri" w:cs="Calibri"/>
          <w:sz w:val="22"/>
          <w:szCs w:val="22"/>
        </w:rPr>
        <w:t>As referenced above, t</w:t>
      </w:r>
      <w:r w:rsidR="00A301D5" w:rsidRPr="00A301D5">
        <w:rPr>
          <w:rFonts w:ascii="Calibri" w:hAnsi="Calibri" w:cs="Calibri"/>
          <w:sz w:val="22"/>
          <w:szCs w:val="22"/>
        </w:rPr>
        <w:t>his omission is material and puts the application in breach of the legal requirements under the EIA Regulations 2017, especially when interpreted in light of NFU v Herefordshire Council, which held that nutrient pollution must be assessed during planning, not deferred to permitting</w:t>
      </w:r>
      <w:r w:rsidR="000E1E10" w:rsidRPr="00256312">
        <w:rPr>
          <w:rFonts w:ascii="Calibri" w:hAnsi="Calibri" w:cs="Calibri"/>
          <w:sz w:val="22"/>
          <w:szCs w:val="22"/>
        </w:rPr>
        <w:t>. The site lies in or near nutrient-sensitive catchments, yet no nutrient loading or land-spreading impact assessment has been provided.</w:t>
      </w:r>
    </w:p>
    <w:p w14:paraId="017CF7B6" w14:textId="77777777" w:rsidR="00AF18DB" w:rsidRDefault="00AF18DB" w:rsidP="00A301D5">
      <w:pPr>
        <w:spacing w:line="240" w:lineRule="auto"/>
        <w:rPr>
          <w:rFonts w:ascii="Calibri" w:hAnsi="Calibri" w:cs="Calibri"/>
          <w:sz w:val="22"/>
          <w:szCs w:val="22"/>
        </w:rPr>
      </w:pPr>
    </w:p>
    <w:p w14:paraId="1E995713" w14:textId="77777777" w:rsidR="00AF18DB" w:rsidRPr="00256312" w:rsidRDefault="00AF18DB" w:rsidP="00A301D5">
      <w:pPr>
        <w:spacing w:line="240" w:lineRule="auto"/>
        <w:rPr>
          <w:rFonts w:ascii="Calibri" w:hAnsi="Calibri" w:cs="Calibri"/>
          <w:sz w:val="22"/>
          <w:szCs w:val="22"/>
        </w:rPr>
      </w:pPr>
    </w:p>
    <w:p w14:paraId="237F9CFA" w14:textId="77777777" w:rsidR="000E1E10" w:rsidRPr="00256312" w:rsidRDefault="000E1E10" w:rsidP="000E1E10">
      <w:pPr>
        <w:spacing w:line="240" w:lineRule="auto"/>
        <w:rPr>
          <w:rFonts w:ascii="Calibri" w:hAnsi="Calibri" w:cs="Calibri"/>
          <w:b/>
          <w:bCs/>
          <w:sz w:val="22"/>
          <w:szCs w:val="22"/>
        </w:rPr>
      </w:pPr>
      <w:r w:rsidRPr="00256312">
        <w:rPr>
          <w:rFonts w:ascii="Calibri" w:hAnsi="Calibri" w:cs="Calibri"/>
          <w:b/>
          <w:bCs/>
          <w:sz w:val="22"/>
          <w:szCs w:val="22"/>
        </w:rPr>
        <w:lastRenderedPageBreak/>
        <w:t>4. Cumulative Environmental Harm Not Properly Assessed</w:t>
      </w:r>
    </w:p>
    <w:p w14:paraId="551A3717" w14:textId="77777777" w:rsidR="006153A2" w:rsidRDefault="006153A2" w:rsidP="000E1E10">
      <w:pPr>
        <w:spacing w:line="240" w:lineRule="auto"/>
        <w:rPr>
          <w:rFonts w:ascii="Calibri" w:hAnsi="Calibri" w:cs="Calibri"/>
          <w:sz w:val="22"/>
          <w:szCs w:val="22"/>
        </w:rPr>
      </w:pPr>
      <w:r w:rsidRPr="006153A2">
        <w:rPr>
          <w:rFonts w:ascii="Calibri" w:hAnsi="Calibri" w:cs="Calibri"/>
          <w:sz w:val="22"/>
          <w:szCs w:val="22"/>
        </w:rPr>
        <w:t xml:space="preserve">The Environmental Statement and its technical appendices provide only a limited and methodologically narrow assessment of cumulative environmental impacts, despite legal and regulatory obligations to do so under the EIA Regulations 2017. </w:t>
      </w:r>
    </w:p>
    <w:p w14:paraId="74931703" w14:textId="77777777" w:rsidR="004008D7" w:rsidRDefault="006153A2" w:rsidP="000E1E10">
      <w:pPr>
        <w:spacing w:line="240" w:lineRule="auto"/>
        <w:rPr>
          <w:rFonts w:ascii="Calibri" w:hAnsi="Calibri" w:cs="Calibri"/>
          <w:sz w:val="22"/>
          <w:szCs w:val="22"/>
        </w:rPr>
      </w:pPr>
      <w:r w:rsidRPr="006153A2">
        <w:rPr>
          <w:rFonts w:ascii="Calibri" w:hAnsi="Calibri" w:cs="Calibri"/>
          <w:sz w:val="22"/>
          <w:szCs w:val="22"/>
        </w:rPr>
        <w:t xml:space="preserve">Although Appendix 6 (Ammonia Impact Assessment) includes a brief “In-Combination” section, this merely notes that where process contributions exceed 1% of the relevant critical level or load, nearby sources have been “considered.” However, the document provides no clear list or map of other emission sources, no quantitative modelling of their combined effect, and does not assess in-combination impacts on non-statutory ecological receptors or human dwellings. </w:t>
      </w:r>
    </w:p>
    <w:p w14:paraId="1471AD0F" w14:textId="4B78CE67" w:rsidR="006153A2" w:rsidRDefault="006153A2" w:rsidP="000E1E10">
      <w:pPr>
        <w:spacing w:line="240" w:lineRule="auto"/>
        <w:rPr>
          <w:rFonts w:ascii="Calibri" w:hAnsi="Calibri" w:cs="Calibri"/>
          <w:sz w:val="22"/>
          <w:szCs w:val="22"/>
        </w:rPr>
      </w:pPr>
      <w:r w:rsidRPr="006153A2">
        <w:rPr>
          <w:rFonts w:ascii="Calibri" w:hAnsi="Calibri" w:cs="Calibri"/>
          <w:sz w:val="22"/>
          <w:szCs w:val="22"/>
        </w:rPr>
        <w:t xml:space="preserve">Similarly, the Ecological Impact Assessment (Appendix 5) explicitly defers the evaluation of ammonia effects on sensitive habitats to the local planning authority, rather than incorporating them into the ES as required. </w:t>
      </w:r>
    </w:p>
    <w:p w14:paraId="5E27D6FD" w14:textId="77777777" w:rsidR="004008D7" w:rsidRDefault="006153A2" w:rsidP="000E1E10">
      <w:pPr>
        <w:spacing w:line="240" w:lineRule="auto"/>
        <w:rPr>
          <w:rFonts w:ascii="Calibri" w:hAnsi="Calibri" w:cs="Calibri"/>
          <w:sz w:val="22"/>
          <w:szCs w:val="22"/>
        </w:rPr>
      </w:pPr>
      <w:r w:rsidRPr="006153A2">
        <w:rPr>
          <w:rFonts w:ascii="Calibri" w:hAnsi="Calibri" w:cs="Calibri"/>
          <w:sz w:val="22"/>
          <w:szCs w:val="22"/>
        </w:rPr>
        <w:t>The overall approach fails to meet the standard established in Finch and NFU v Herefordshire, which require that all likely significant cumulative effects be assessed as part of the planning process and cannot be deferred to permitting. This omission renders the cumulative assessment inadequate and legally non-compliant.</w:t>
      </w:r>
    </w:p>
    <w:p w14:paraId="20770BF4" w14:textId="7E13F195" w:rsidR="000E1E10" w:rsidRPr="001D37BA" w:rsidRDefault="000E1E10" w:rsidP="000E1E10">
      <w:pPr>
        <w:spacing w:line="240" w:lineRule="auto"/>
        <w:rPr>
          <w:rFonts w:ascii="Calibri" w:hAnsi="Calibri" w:cs="Calibri"/>
          <w:b/>
          <w:bCs/>
          <w:sz w:val="22"/>
          <w:szCs w:val="22"/>
        </w:rPr>
      </w:pPr>
      <w:r w:rsidRPr="00256312">
        <w:rPr>
          <w:rFonts w:ascii="Calibri" w:hAnsi="Calibri" w:cs="Calibri"/>
          <w:b/>
          <w:bCs/>
          <w:sz w:val="22"/>
          <w:szCs w:val="22"/>
        </w:rPr>
        <w:t>5. Impacts on Residential Amenity and Human Health</w:t>
      </w:r>
    </w:p>
    <w:p w14:paraId="12124884" w14:textId="77777777" w:rsidR="000E1E10" w:rsidRPr="001D37BA" w:rsidRDefault="000E1E10" w:rsidP="000E1E10">
      <w:pPr>
        <w:pStyle w:val="paragraph"/>
        <w:spacing w:before="0" w:beforeAutospacing="0" w:after="0" w:afterAutospacing="0"/>
        <w:textAlignment w:val="baseline"/>
        <w:rPr>
          <w:rFonts w:ascii="Calibri" w:hAnsi="Calibri" w:cs="Calibri"/>
          <w:sz w:val="22"/>
          <w:szCs w:val="22"/>
        </w:rPr>
      </w:pPr>
      <w:hyperlink r:id="rId14" w:tgtFrame="_blank" w:history="1">
        <w:r w:rsidRPr="001D37BA">
          <w:rPr>
            <w:rStyle w:val="normaltextrun"/>
            <w:rFonts w:ascii="Calibri" w:hAnsi="Calibri" w:cs="Calibri"/>
            <w:color w:val="467886"/>
            <w:sz w:val="22"/>
            <w:szCs w:val="22"/>
            <w:u w:val="single"/>
          </w:rPr>
          <w:t>Intensive livestock operations are well-documented sources of odour, airborne particulates (including bioaerosols), noise, and pests such as flies.</w:t>
        </w:r>
      </w:hyperlink>
      <w:r w:rsidRPr="001D37BA">
        <w:rPr>
          <w:rStyle w:val="normaltextrun"/>
          <w:rFonts w:ascii="Calibri" w:hAnsi="Calibri" w:cs="Calibri"/>
          <w:sz w:val="22"/>
          <w:szCs w:val="22"/>
        </w:rPr>
        <w:t xml:space="preserve"> </w:t>
      </w:r>
      <w:r w:rsidRPr="001D37BA">
        <w:rPr>
          <w:rStyle w:val="eop"/>
          <w:rFonts w:ascii="Calibri" w:hAnsi="Calibri" w:cs="Calibri"/>
          <w:sz w:val="22"/>
          <w:szCs w:val="22"/>
        </w:rPr>
        <w:t> </w:t>
      </w:r>
    </w:p>
    <w:p w14:paraId="465424F9" w14:textId="77777777" w:rsidR="0005098F" w:rsidRDefault="0005098F" w:rsidP="000E1E10">
      <w:pPr>
        <w:pStyle w:val="paragraph"/>
        <w:spacing w:before="0" w:beforeAutospacing="0" w:after="0" w:afterAutospacing="0"/>
        <w:textAlignment w:val="baseline"/>
        <w:rPr>
          <w:rStyle w:val="eop"/>
          <w:rFonts w:ascii="Calibri" w:hAnsi="Calibri" w:cs="Calibri"/>
          <w:sz w:val="22"/>
          <w:szCs w:val="22"/>
        </w:rPr>
      </w:pPr>
    </w:p>
    <w:p w14:paraId="532127B0" w14:textId="77777777" w:rsidR="006476F1" w:rsidRDefault="0005098F" w:rsidP="000E1E10">
      <w:pPr>
        <w:pStyle w:val="paragraph"/>
        <w:spacing w:before="0" w:beforeAutospacing="0" w:after="0" w:afterAutospacing="0"/>
        <w:textAlignment w:val="baseline"/>
        <w:rPr>
          <w:rFonts w:ascii="Calibri" w:hAnsi="Calibri" w:cs="Calibri"/>
          <w:sz w:val="22"/>
          <w:szCs w:val="22"/>
        </w:rPr>
      </w:pPr>
      <w:r w:rsidRPr="0005098F">
        <w:rPr>
          <w:rFonts w:ascii="Calibri" w:hAnsi="Calibri" w:cs="Calibri"/>
          <w:sz w:val="22"/>
          <w:szCs w:val="22"/>
        </w:rPr>
        <w:t>Intensive livestock operations are well-documented sources of odour, airborne particulates (including bioaerosols), noise, and pests such as flies. In Shropshire, where there is already a high density of poultry and pig production units, residents living near such facilities have consistently reported serious and ongoing impacts on health, wellbeing, and local biodiversity.</w:t>
      </w:r>
      <w:r>
        <w:rPr>
          <w:rFonts w:ascii="Calibri" w:hAnsi="Calibri" w:cs="Calibri"/>
          <w:sz w:val="22"/>
          <w:szCs w:val="22"/>
        </w:rPr>
        <w:t xml:space="preserve"> Across Shropshire,</w:t>
      </w:r>
      <w:r w:rsidRPr="0005098F">
        <w:rPr>
          <w:rFonts w:ascii="Calibri" w:hAnsi="Calibri" w:cs="Calibri"/>
          <w:sz w:val="22"/>
          <w:szCs w:val="22"/>
        </w:rPr>
        <w:t xml:space="preserve"> including sites near Bridgnorth, Market Drayton, and the Clun Valley</w:t>
      </w:r>
      <w:r>
        <w:rPr>
          <w:rFonts w:ascii="Calibri" w:hAnsi="Calibri" w:cs="Calibri"/>
          <w:sz w:val="22"/>
          <w:szCs w:val="22"/>
        </w:rPr>
        <w:t xml:space="preserve">, </w:t>
      </w:r>
      <w:r w:rsidRPr="0005098F">
        <w:rPr>
          <w:rFonts w:ascii="Calibri" w:hAnsi="Calibri" w:cs="Calibri"/>
          <w:sz w:val="22"/>
          <w:szCs w:val="22"/>
        </w:rPr>
        <w:t xml:space="preserve">odour, noise, fly infestations and poor air quality significantly undermine residential amenity and mental health. </w:t>
      </w:r>
    </w:p>
    <w:p w14:paraId="21710674" w14:textId="77777777" w:rsidR="006476F1" w:rsidRDefault="006476F1" w:rsidP="000E1E10">
      <w:pPr>
        <w:pStyle w:val="paragraph"/>
        <w:spacing w:before="0" w:beforeAutospacing="0" w:after="0" w:afterAutospacing="0"/>
        <w:textAlignment w:val="baseline"/>
        <w:rPr>
          <w:rFonts w:ascii="Calibri" w:hAnsi="Calibri" w:cs="Calibri"/>
          <w:sz w:val="22"/>
          <w:szCs w:val="22"/>
        </w:rPr>
      </w:pPr>
    </w:p>
    <w:p w14:paraId="1F93CDE8" w14:textId="39FC5C63" w:rsidR="0005098F" w:rsidRPr="001D37BA" w:rsidRDefault="0005098F" w:rsidP="000E1E10">
      <w:pPr>
        <w:pStyle w:val="paragraph"/>
        <w:spacing w:before="0" w:beforeAutospacing="0" w:after="0" w:afterAutospacing="0"/>
        <w:textAlignment w:val="baseline"/>
        <w:rPr>
          <w:rStyle w:val="eop"/>
          <w:rFonts w:ascii="Calibri" w:hAnsi="Calibri" w:cs="Calibri"/>
          <w:sz w:val="22"/>
          <w:szCs w:val="22"/>
        </w:rPr>
      </w:pPr>
      <w:r w:rsidRPr="0005098F">
        <w:rPr>
          <w:rFonts w:ascii="Calibri" w:hAnsi="Calibri" w:cs="Calibri"/>
          <w:sz w:val="22"/>
          <w:szCs w:val="22"/>
        </w:rPr>
        <w:t>These impacts are not hypothetical or occasional: they are persistent, often poorly regulated, and resistant to post-consent mitigation. Once developments of this kind are approved, they can fundamentally alter the character of rural communities and reduce residents’ quality of life for years to come. These harms are legitimate and material planning concerns, and they weigh heavily against the approval of further large-scale poultry units in the county.</w:t>
      </w:r>
    </w:p>
    <w:p w14:paraId="629AAA8F" w14:textId="77777777" w:rsidR="000E1E10" w:rsidRDefault="000E1E10" w:rsidP="000E1E10">
      <w:pPr>
        <w:spacing w:line="240" w:lineRule="auto"/>
        <w:rPr>
          <w:rFonts w:ascii="Calibri" w:hAnsi="Calibri" w:cs="Calibri"/>
          <w:sz w:val="22"/>
          <w:szCs w:val="22"/>
        </w:rPr>
      </w:pPr>
    </w:p>
    <w:p w14:paraId="5A3ABEC2" w14:textId="77777777" w:rsidR="000E1E10" w:rsidRPr="00256312" w:rsidRDefault="000E1E10" w:rsidP="000E1E10">
      <w:pPr>
        <w:spacing w:line="240" w:lineRule="auto"/>
        <w:rPr>
          <w:rFonts w:ascii="Calibri" w:hAnsi="Calibri" w:cs="Calibri"/>
          <w:b/>
          <w:bCs/>
          <w:sz w:val="22"/>
          <w:szCs w:val="22"/>
        </w:rPr>
      </w:pPr>
      <w:r w:rsidRPr="00256312">
        <w:rPr>
          <w:rFonts w:ascii="Calibri" w:hAnsi="Calibri" w:cs="Calibri"/>
          <w:b/>
          <w:bCs/>
          <w:sz w:val="22"/>
          <w:szCs w:val="22"/>
        </w:rPr>
        <w:t>6. Conflict with National and Local Climate Policy</w:t>
      </w:r>
    </w:p>
    <w:p w14:paraId="1AB4F10B" w14:textId="629FAAD9" w:rsidR="000E1E10" w:rsidRPr="001D37BA" w:rsidRDefault="000E1E10" w:rsidP="000E1E10">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sz w:val="22"/>
          <w:szCs w:val="22"/>
        </w:rPr>
        <w:t xml:space="preserve">This development is likely to be incompatible with the UK’s legally binding target to reduce emissions by 81% by 2050 and </w:t>
      </w:r>
      <w:r w:rsidR="006964C9">
        <w:rPr>
          <w:rStyle w:val="normaltextrun"/>
          <w:rFonts w:ascii="Calibri" w:hAnsi="Calibri" w:cs="Calibri"/>
          <w:sz w:val="22"/>
          <w:szCs w:val="22"/>
        </w:rPr>
        <w:t xml:space="preserve">Shropshire’s own Zero Carbon Shropshire Plan, </w:t>
      </w:r>
      <w:r w:rsidRPr="001D37BA">
        <w:rPr>
          <w:rStyle w:val="normaltextrun"/>
          <w:rFonts w:ascii="Calibri" w:hAnsi="Calibri" w:cs="Calibri"/>
          <w:sz w:val="22"/>
          <w:szCs w:val="22"/>
        </w:rPr>
        <w:t xml:space="preserve">as well as the National Planning Policy Framework. </w:t>
      </w:r>
      <w:r w:rsidRPr="001D37BA">
        <w:rPr>
          <w:rStyle w:val="eop"/>
          <w:rFonts w:ascii="Calibri" w:hAnsi="Calibri" w:cs="Calibri"/>
          <w:sz w:val="22"/>
          <w:szCs w:val="22"/>
        </w:rPr>
        <w:t> </w:t>
      </w:r>
    </w:p>
    <w:p w14:paraId="2A90014C" w14:textId="77777777" w:rsidR="000E1E10" w:rsidRPr="001D37BA" w:rsidRDefault="000E1E10" w:rsidP="000E1E10">
      <w:pPr>
        <w:pStyle w:val="paragraph"/>
        <w:spacing w:before="0" w:beforeAutospacing="0" w:after="0" w:afterAutospacing="0"/>
        <w:textAlignment w:val="baseline"/>
        <w:rPr>
          <w:rStyle w:val="normaltextrun"/>
          <w:rFonts w:ascii="Calibri" w:hAnsi="Calibri" w:cs="Calibri"/>
          <w:sz w:val="22"/>
          <w:szCs w:val="22"/>
        </w:rPr>
      </w:pPr>
    </w:p>
    <w:p w14:paraId="718E9354" w14:textId="77777777" w:rsidR="000E1E10" w:rsidRPr="001D37BA" w:rsidRDefault="000E1E10" w:rsidP="000E1E10">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sz w:val="22"/>
          <w:szCs w:val="22"/>
        </w:rPr>
        <w:t>There is no viable mitigation or offsetting route that could prevent the significant greenhouse gas emissions associated with this site. No evidence has been presented that the proposal aligns with any credible carbon budget or contributes positively to climate resilience or biodiversity.</w:t>
      </w:r>
      <w:r w:rsidRPr="001D37BA">
        <w:rPr>
          <w:rStyle w:val="eop"/>
          <w:rFonts w:ascii="Calibri" w:hAnsi="Calibri" w:cs="Calibri"/>
          <w:sz w:val="22"/>
          <w:szCs w:val="22"/>
        </w:rPr>
        <w:t> </w:t>
      </w:r>
    </w:p>
    <w:p w14:paraId="4BBB4D2C" w14:textId="7F42ADDA" w:rsidR="005D5E86" w:rsidRDefault="000E1E10" w:rsidP="005D5E86">
      <w:pPr>
        <w:pStyle w:val="paragraph"/>
        <w:spacing w:before="0" w:beforeAutospacing="0" w:after="0" w:afterAutospacing="0"/>
        <w:textAlignment w:val="baseline"/>
        <w:rPr>
          <w:rStyle w:val="eop"/>
          <w:rFonts w:ascii="Calibri" w:hAnsi="Calibri" w:cs="Calibri"/>
          <w:sz w:val="22"/>
          <w:szCs w:val="22"/>
        </w:rPr>
      </w:pPr>
      <w:r w:rsidRPr="001D37BA">
        <w:rPr>
          <w:rStyle w:val="normaltextrun"/>
          <w:rFonts w:ascii="Calibri" w:hAnsi="Calibri" w:cs="Calibri"/>
          <w:sz w:val="22"/>
          <w:szCs w:val="22"/>
        </w:rPr>
        <w:t>Approving developments of this nature without robust climate impact assessments risks undermining national commitments and the credibility of local policy.</w:t>
      </w:r>
      <w:r w:rsidRPr="001D37BA">
        <w:rPr>
          <w:rStyle w:val="eop"/>
          <w:rFonts w:ascii="Calibri" w:hAnsi="Calibri" w:cs="Calibri"/>
          <w:sz w:val="22"/>
          <w:szCs w:val="22"/>
        </w:rPr>
        <w:t> </w:t>
      </w:r>
    </w:p>
    <w:p w14:paraId="79E0321B" w14:textId="77777777" w:rsidR="005D5E86" w:rsidRPr="005D5E86" w:rsidRDefault="005D5E86" w:rsidP="005D5E86">
      <w:pPr>
        <w:pStyle w:val="paragraph"/>
        <w:spacing w:before="0" w:beforeAutospacing="0" w:after="0" w:afterAutospacing="0"/>
        <w:textAlignment w:val="baseline"/>
        <w:rPr>
          <w:rFonts w:ascii="Calibri" w:hAnsi="Calibri" w:cs="Calibri"/>
          <w:sz w:val="22"/>
          <w:szCs w:val="22"/>
        </w:rPr>
      </w:pPr>
    </w:p>
    <w:p w14:paraId="2885838A" w14:textId="528B9D48" w:rsidR="005D5E86" w:rsidRPr="005D5E86" w:rsidRDefault="005D5E86" w:rsidP="000E1E10">
      <w:pPr>
        <w:spacing w:line="240" w:lineRule="auto"/>
        <w:rPr>
          <w:rFonts w:ascii="Calibri" w:hAnsi="Calibri" w:cs="Calibri"/>
          <w:sz w:val="22"/>
          <w:szCs w:val="22"/>
        </w:rPr>
      </w:pPr>
      <w:r w:rsidRPr="26B10212">
        <w:rPr>
          <w:rFonts w:ascii="Calibri" w:hAnsi="Calibri" w:cs="Calibri"/>
          <w:sz w:val="22"/>
          <w:szCs w:val="22"/>
        </w:rPr>
        <w:t xml:space="preserve">Shropshire Council has faced significant scrutiny over environmental concerns related to intensive poultry farming. Shropshire Council has been legally challenged multiple times for approving large-scale poultry units without adequately assessing their cumulative environmental impacts. A judicial </w:t>
      </w:r>
      <w:r w:rsidRPr="26B10212">
        <w:rPr>
          <w:rFonts w:ascii="Calibri" w:hAnsi="Calibri" w:cs="Calibri"/>
          <w:sz w:val="22"/>
          <w:szCs w:val="22"/>
        </w:rPr>
        <w:lastRenderedPageBreak/>
        <w:t xml:space="preserve">review is underway concerning a proposed 230,000-bird poultry unit near Shrewsbury, with campaigners arguing that such developments contribute to pollution in the River Severn due to manure runoff. We </w:t>
      </w:r>
      <w:r w:rsidR="00C07483" w:rsidRPr="26B10212">
        <w:rPr>
          <w:rFonts w:ascii="Calibri" w:hAnsi="Calibri" w:cs="Calibri"/>
          <w:sz w:val="22"/>
          <w:szCs w:val="22"/>
        </w:rPr>
        <w:t xml:space="preserve">believe Shropshire Council </w:t>
      </w:r>
      <w:r w:rsidR="4C3D8478" w:rsidRPr="26B10212">
        <w:rPr>
          <w:rFonts w:ascii="Calibri" w:hAnsi="Calibri" w:cs="Calibri"/>
          <w:sz w:val="22"/>
          <w:szCs w:val="22"/>
        </w:rPr>
        <w:t>risks finding</w:t>
      </w:r>
      <w:r w:rsidR="00C07483" w:rsidRPr="26B10212">
        <w:rPr>
          <w:rFonts w:ascii="Calibri" w:hAnsi="Calibri" w:cs="Calibri"/>
          <w:sz w:val="22"/>
          <w:szCs w:val="22"/>
        </w:rPr>
        <w:t xml:space="preserve"> itself the subject of a further judicial review by campaigners should this application be approved. </w:t>
      </w:r>
    </w:p>
    <w:p w14:paraId="45EB8042" w14:textId="77777777" w:rsidR="000E1E10" w:rsidRPr="00256312" w:rsidRDefault="1C5030C0" w:rsidP="000E1E10">
      <w:pPr>
        <w:spacing w:line="240" w:lineRule="auto"/>
        <w:rPr>
          <w:rFonts w:ascii="Calibri" w:hAnsi="Calibri" w:cs="Calibri"/>
          <w:sz w:val="22"/>
          <w:szCs w:val="22"/>
        </w:rPr>
      </w:pPr>
      <w:r w:rsidRPr="7E93BC8A">
        <w:rPr>
          <w:rFonts w:ascii="Calibri" w:hAnsi="Calibri" w:cs="Calibri"/>
          <w:sz w:val="22"/>
          <w:szCs w:val="22"/>
        </w:rPr>
        <w:t>In conclusion,</w:t>
      </w:r>
      <w:r w:rsidRPr="7E93BC8A">
        <w:rPr>
          <w:rFonts w:ascii="Calibri" w:hAnsi="Calibri" w:cs="Calibri"/>
          <w:b/>
          <w:bCs/>
          <w:sz w:val="22"/>
          <w:szCs w:val="22"/>
        </w:rPr>
        <w:t xml:space="preserve"> </w:t>
      </w:r>
      <w:r w:rsidRPr="7E93BC8A">
        <w:rPr>
          <w:rFonts w:ascii="Calibri" w:hAnsi="Calibri" w:cs="Calibri"/>
          <w:sz w:val="22"/>
          <w:szCs w:val="22"/>
        </w:rPr>
        <w:t>we believe the application:</w:t>
      </w:r>
    </w:p>
    <w:p w14:paraId="7E5B296B" w14:textId="77777777" w:rsidR="000E1E10" w:rsidRPr="00256312" w:rsidRDefault="000E1E10" w:rsidP="000E1E10">
      <w:pPr>
        <w:numPr>
          <w:ilvl w:val="0"/>
          <w:numId w:val="5"/>
        </w:numPr>
        <w:spacing w:line="240" w:lineRule="auto"/>
        <w:rPr>
          <w:rFonts w:ascii="Calibri" w:hAnsi="Calibri" w:cs="Calibri"/>
          <w:sz w:val="22"/>
          <w:szCs w:val="22"/>
        </w:rPr>
      </w:pPr>
      <w:r>
        <w:rPr>
          <w:rFonts w:ascii="Calibri" w:hAnsi="Calibri" w:cs="Calibri"/>
          <w:sz w:val="22"/>
          <w:szCs w:val="22"/>
        </w:rPr>
        <w:t>Is based on an</w:t>
      </w:r>
      <w:r w:rsidRPr="00256312">
        <w:rPr>
          <w:rFonts w:ascii="Calibri" w:hAnsi="Calibri" w:cs="Calibri"/>
          <w:sz w:val="22"/>
          <w:szCs w:val="22"/>
        </w:rPr>
        <w:t xml:space="preserve"> Environmental Statement</w:t>
      </w:r>
      <w:r>
        <w:rPr>
          <w:rFonts w:ascii="Calibri" w:hAnsi="Calibri" w:cs="Calibri"/>
          <w:sz w:val="22"/>
          <w:szCs w:val="22"/>
        </w:rPr>
        <w:t xml:space="preserve"> that</w:t>
      </w:r>
      <w:r w:rsidRPr="00256312">
        <w:rPr>
          <w:rFonts w:ascii="Calibri" w:hAnsi="Calibri" w:cs="Calibri"/>
          <w:sz w:val="22"/>
          <w:szCs w:val="22"/>
        </w:rPr>
        <w:t xml:space="preserve"> is incomplete and non-compliant under the EIA Regulations 2017;</w:t>
      </w:r>
    </w:p>
    <w:p w14:paraId="0A50E1A4" w14:textId="77777777" w:rsidR="000E1E10" w:rsidRPr="00256312" w:rsidRDefault="000E1E10" w:rsidP="000E1E10">
      <w:pPr>
        <w:numPr>
          <w:ilvl w:val="0"/>
          <w:numId w:val="5"/>
        </w:numPr>
        <w:spacing w:line="240" w:lineRule="auto"/>
        <w:rPr>
          <w:rFonts w:ascii="Calibri" w:hAnsi="Calibri" w:cs="Calibri"/>
          <w:sz w:val="22"/>
          <w:szCs w:val="22"/>
        </w:rPr>
      </w:pPr>
      <w:r>
        <w:rPr>
          <w:rFonts w:ascii="Calibri" w:hAnsi="Calibri" w:cs="Calibri"/>
          <w:sz w:val="22"/>
          <w:szCs w:val="22"/>
        </w:rPr>
        <w:t>Falls short of legal standards in regards to t</w:t>
      </w:r>
      <w:r w:rsidRPr="00256312">
        <w:rPr>
          <w:rFonts w:ascii="Calibri" w:hAnsi="Calibri" w:cs="Calibri"/>
          <w:sz w:val="22"/>
          <w:szCs w:val="22"/>
        </w:rPr>
        <w:t>he greenhouse gas, waste, and cumulative pollution assessment;</w:t>
      </w:r>
    </w:p>
    <w:p w14:paraId="5BECF61E" w14:textId="6B8ADAF9" w:rsidR="000E1E10" w:rsidRPr="00256312" w:rsidRDefault="000E1E10" w:rsidP="000E1E10">
      <w:pPr>
        <w:numPr>
          <w:ilvl w:val="0"/>
          <w:numId w:val="5"/>
        </w:numPr>
        <w:spacing w:line="240" w:lineRule="auto"/>
        <w:rPr>
          <w:rFonts w:ascii="Calibri" w:hAnsi="Calibri" w:cs="Calibri"/>
          <w:sz w:val="22"/>
          <w:szCs w:val="22"/>
        </w:rPr>
      </w:pPr>
      <w:r>
        <w:rPr>
          <w:rFonts w:ascii="Calibri" w:hAnsi="Calibri" w:cs="Calibri"/>
          <w:sz w:val="22"/>
          <w:szCs w:val="22"/>
        </w:rPr>
        <w:t>Improperly</w:t>
      </w:r>
      <w:r w:rsidRPr="00256312">
        <w:rPr>
          <w:rFonts w:ascii="Calibri" w:hAnsi="Calibri" w:cs="Calibri"/>
          <w:sz w:val="22"/>
          <w:szCs w:val="22"/>
        </w:rPr>
        <w:t xml:space="preserve"> reli</w:t>
      </w:r>
      <w:r>
        <w:rPr>
          <w:rFonts w:ascii="Calibri" w:hAnsi="Calibri" w:cs="Calibri"/>
          <w:sz w:val="22"/>
          <w:szCs w:val="22"/>
        </w:rPr>
        <w:t>es</w:t>
      </w:r>
      <w:r w:rsidRPr="00256312">
        <w:rPr>
          <w:rFonts w:ascii="Calibri" w:hAnsi="Calibri" w:cs="Calibri"/>
          <w:sz w:val="22"/>
          <w:szCs w:val="22"/>
        </w:rPr>
        <w:t xml:space="preserve"> on post-approval regulation</w:t>
      </w:r>
      <w:r>
        <w:rPr>
          <w:rFonts w:ascii="Calibri" w:hAnsi="Calibri" w:cs="Calibri"/>
          <w:sz w:val="22"/>
          <w:szCs w:val="22"/>
        </w:rPr>
        <w:t xml:space="preserve"> to prevent pollution from waste</w:t>
      </w:r>
      <w:r w:rsidRPr="00256312">
        <w:rPr>
          <w:rFonts w:ascii="Calibri" w:hAnsi="Calibri" w:cs="Calibri"/>
          <w:sz w:val="22"/>
          <w:szCs w:val="22"/>
        </w:rPr>
        <w:t>;</w:t>
      </w:r>
    </w:p>
    <w:p w14:paraId="4630B9C0" w14:textId="3FD3B042" w:rsidR="000E1E10" w:rsidRPr="00256312" w:rsidRDefault="000E1E10" w:rsidP="000E1E10">
      <w:pPr>
        <w:numPr>
          <w:ilvl w:val="0"/>
          <w:numId w:val="5"/>
        </w:numPr>
        <w:spacing w:line="240" w:lineRule="auto"/>
        <w:rPr>
          <w:rFonts w:ascii="Calibri" w:hAnsi="Calibri" w:cs="Calibri"/>
          <w:sz w:val="22"/>
          <w:szCs w:val="22"/>
        </w:rPr>
      </w:pPr>
      <w:r>
        <w:rPr>
          <w:rFonts w:ascii="Calibri" w:hAnsi="Calibri" w:cs="Calibri"/>
          <w:sz w:val="22"/>
          <w:szCs w:val="22"/>
        </w:rPr>
        <w:t>Is</w:t>
      </w:r>
      <w:r w:rsidRPr="00256312">
        <w:rPr>
          <w:rFonts w:ascii="Calibri" w:hAnsi="Calibri" w:cs="Calibri"/>
          <w:sz w:val="22"/>
          <w:szCs w:val="22"/>
        </w:rPr>
        <w:t xml:space="preserve"> incompatible with </w:t>
      </w:r>
      <w:r>
        <w:rPr>
          <w:rFonts w:ascii="Calibri" w:hAnsi="Calibri" w:cs="Calibri"/>
          <w:sz w:val="22"/>
          <w:szCs w:val="22"/>
        </w:rPr>
        <w:t>the local plan and England’s national planning policy framework regarding</w:t>
      </w:r>
      <w:r w:rsidR="00C902F0">
        <w:rPr>
          <w:rFonts w:ascii="Calibri" w:hAnsi="Calibri" w:cs="Calibri"/>
          <w:sz w:val="22"/>
          <w:szCs w:val="22"/>
        </w:rPr>
        <w:t xml:space="preserve"> </w:t>
      </w:r>
      <w:r>
        <w:rPr>
          <w:rFonts w:ascii="Calibri" w:hAnsi="Calibri" w:cs="Calibri"/>
          <w:sz w:val="22"/>
          <w:szCs w:val="22"/>
        </w:rPr>
        <w:t>the need to mitigate and prevent climate change</w:t>
      </w:r>
      <w:r w:rsidR="00C902F0">
        <w:rPr>
          <w:rFonts w:ascii="Calibri" w:hAnsi="Calibri" w:cs="Calibri"/>
          <w:sz w:val="22"/>
          <w:szCs w:val="22"/>
        </w:rPr>
        <w:t xml:space="preserve"> la</w:t>
      </w:r>
      <w:r w:rsidRPr="00256312">
        <w:rPr>
          <w:rFonts w:ascii="Calibri" w:hAnsi="Calibri" w:cs="Calibri"/>
          <w:sz w:val="22"/>
          <w:szCs w:val="22"/>
        </w:rPr>
        <w:t>w.</w:t>
      </w:r>
    </w:p>
    <w:p w14:paraId="2C342234" w14:textId="77777777" w:rsidR="000E1E10" w:rsidRPr="00256312" w:rsidRDefault="000E1E10" w:rsidP="000E1E10">
      <w:pPr>
        <w:spacing w:line="240" w:lineRule="auto"/>
        <w:rPr>
          <w:rFonts w:ascii="Calibri" w:hAnsi="Calibri" w:cs="Calibri"/>
          <w:sz w:val="22"/>
          <w:szCs w:val="22"/>
        </w:rPr>
      </w:pPr>
      <w:r w:rsidRPr="00256312">
        <w:rPr>
          <w:rFonts w:ascii="Calibri" w:hAnsi="Calibri" w:cs="Calibri"/>
          <w:sz w:val="22"/>
          <w:szCs w:val="22"/>
        </w:rPr>
        <w:t>Approving this application would expose the Council to a high risk of legal challenge and undermine its credibility in managing climate and public health responsibilities.</w:t>
      </w:r>
    </w:p>
    <w:p w14:paraId="6710FA28" w14:textId="5B1B4D18" w:rsidR="000E1E10" w:rsidRPr="001D37BA" w:rsidRDefault="000E1E10" w:rsidP="000E1E10">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sz w:val="22"/>
          <w:szCs w:val="22"/>
        </w:rPr>
        <w:t xml:space="preserve">We therefore recommend that </w:t>
      </w:r>
      <w:r w:rsidR="00C902F0">
        <w:rPr>
          <w:rStyle w:val="normaltextrun"/>
          <w:rFonts w:ascii="Calibri" w:hAnsi="Calibri" w:cs="Calibri"/>
          <w:sz w:val="22"/>
          <w:szCs w:val="22"/>
        </w:rPr>
        <w:t xml:space="preserve">Shropshire </w:t>
      </w:r>
      <w:r w:rsidRPr="001D37BA">
        <w:rPr>
          <w:rStyle w:val="normaltextrun"/>
          <w:rFonts w:ascii="Calibri" w:hAnsi="Calibri" w:cs="Calibri"/>
          <w:sz w:val="22"/>
          <w:szCs w:val="22"/>
        </w:rPr>
        <w:t xml:space="preserve">Council refuse planning application </w:t>
      </w:r>
      <w:r w:rsidR="009A6D16" w:rsidRPr="009A6D16">
        <w:rPr>
          <w:rStyle w:val="normaltextrun"/>
          <w:rFonts w:ascii="Calibri" w:hAnsi="Calibri" w:cs="Calibri"/>
          <w:sz w:val="22"/>
          <w:szCs w:val="22"/>
        </w:rPr>
        <w:t>25/01501/EIA</w:t>
      </w:r>
      <w:r w:rsidR="009A6D16">
        <w:rPr>
          <w:rStyle w:val="normaltextrun"/>
          <w:rFonts w:ascii="Calibri" w:hAnsi="Calibri" w:cs="Calibri"/>
          <w:sz w:val="22"/>
          <w:szCs w:val="22"/>
        </w:rPr>
        <w:t xml:space="preserve"> </w:t>
      </w:r>
      <w:r w:rsidRPr="001D37BA">
        <w:rPr>
          <w:rStyle w:val="normaltextrun"/>
          <w:rFonts w:ascii="Calibri" w:hAnsi="Calibri" w:cs="Calibri"/>
          <w:sz w:val="22"/>
          <w:szCs w:val="22"/>
        </w:rPr>
        <w:t>in the interest of environmental protection, legal soundness, and public accountability.</w:t>
      </w:r>
      <w:r w:rsidRPr="001D37BA">
        <w:rPr>
          <w:rStyle w:val="eop"/>
          <w:rFonts w:ascii="Calibri" w:hAnsi="Calibri" w:cs="Calibri"/>
          <w:sz w:val="22"/>
          <w:szCs w:val="22"/>
        </w:rPr>
        <w:t> </w:t>
      </w:r>
    </w:p>
    <w:p w14:paraId="1159C57F" w14:textId="77777777" w:rsidR="000E1E10" w:rsidRPr="001D37BA" w:rsidRDefault="000E1E10" w:rsidP="000E1E10">
      <w:pPr>
        <w:pStyle w:val="paragraph"/>
        <w:spacing w:before="0" w:beforeAutospacing="0" w:after="0" w:afterAutospacing="0"/>
        <w:textAlignment w:val="baseline"/>
        <w:rPr>
          <w:rFonts w:ascii="Calibri" w:hAnsi="Calibri" w:cs="Calibri"/>
          <w:sz w:val="22"/>
          <w:szCs w:val="22"/>
        </w:rPr>
      </w:pPr>
      <w:r w:rsidRPr="001D37BA">
        <w:rPr>
          <w:rStyle w:val="eop"/>
          <w:rFonts w:ascii="Calibri" w:hAnsi="Calibri" w:cs="Calibri"/>
          <w:sz w:val="22"/>
          <w:szCs w:val="22"/>
        </w:rPr>
        <w:t> </w:t>
      </w:r>
    </w:p>
    <w:p w14:paraId="3BFA615E" w14:textId="77777777" w:rsidR="000E1E10" w:rsidRPr="001D37BA" w:rsidRDefault="000E1E10" w:rsidP="000E1E10">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sz w:val="22"/>
          <w:szCs w:val="22"/>
        </w:rPr>
        <w:t xml:space="preserve">Sincerely </w:t>
      </w:r>
      <w:r w:rsidRPr="001D37BA">
        <w:rPr>
          <w:rStyle w:val="eop"/>
          <w:rFonts w:ascii="Calibri" w:hAnsi="Calibri" w:cs="Calibri"/>
          <w:sz w:val="22"/>
          <w:szCs w:val="22"/>
        </w:rPr>
        <w:t> </w:t>
      </w:r>
    </w:p>
    <w:p w14:paraId="0F7630E3"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r w:rsidRPr="001D37BA">
        <w:rPr>
          <w:rStyle w:val="eop"/>
          <w:rFonts w:ascii="Calibri" w:hAnsi="Calibri" w:cs="Calibri"/>
          <w:sz w:val="22"/>
          <w:szCs w:val="22"/>
        </w:rPr>
        <w:t> </w:t>
      </w:r>
    </w:p>
    <w:p w14:paraId="443E30DB" w14:textId="77777777" w:rsidR="00062F22" w:rsidRPr="001D37BA" w:rsidRDefault="00062F22" w:rsidP="00062F22">
      <w:pPr>
        <w:spacing w:after="0" w:line="240" w:lineRule="auto"/>
        <w:rPr>
          <w:rFonts w:ascii="Calibri" w:hAnsi="Calibri" w:cs="Calibri"/>
          <w:sz w:val="22"/>
          <w:szCs w:val="22"/>
        </w:rPr>
      </w:pPr>
      <w:r w:rsidRPr="001D37BA">
        <w:rPr>
          <w:rFonts w:ascii="Calibri" w:hAnsi="Calibri" w:cs="Calibri"/>
          <w:noProof/>
          <w:sz w:val="22"/>
          <w:szCs w:val="22"/>
        </w:rPr>
        <w:drawing>
          <wp:inline distT="0" distB="0" distL="0" distR="0" wp14:anchorId="7B5EC2D6" wp14:editId="7D657384">
            <wp:extent cx="1524000" cy="563880"/>
            <wp:effectExtent l="0" t="0" r="0" b="0"/>
            <wp:docPr id="1513017482" name="Picture 151301748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17482" name="Picture 1513017482" descr="A signature on a white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4000" cy="563880"/>
                    </a:xfrm>
                    <a:prstGeom prst="rect">
                      <a:avLst/>
                    </a:prstGeom>
                  </pic:spPr>
                </pic:pic>
              </a:graphicData>
            </a:graphic>
          </wp:inline>
        </w:drawing>
      </w:r>
    </w:p>
    <w:p w14:paraId="20E52AD6" w14:textId="77777777" w:rsidR="00062F22" w:rsidRPr="001D37BA" w:rsidRDefault="00062F22" w:rsidP="00062F22">
      <w:pPr>
        <w:shd w:val="clear" w:color="auto" w:fill="FFFFFF"/>
        <w:spacing w:after="0" w:line="240" w:lineRule="auto"/>
        <w:rPr>
          <w:rFonts w:ascii="Calibri" w:eastAsia="Inter" w:hAnsi="Calibri" w:cs="Calibri"/>
          <w:b/>
          <w:bCs/>
          <w:color w:val="000000" w:themeColor="text1"/>
          <w:sz w:val="22"/>
          <w:szCs w:val="22"/>
        </w:rPr>
      </w:pPr>
      <w:r w:rsidRPr="001D37BA">
        <w:rPr>
          <w:rFonts w:ascii="Calibri" w:eastAsia="Inter" w:hAnsi="Calibri" w:cs="Calibri"/>
          <w:b/>
          <w:bCs/>
          <w:color w:val="000000" w:themeColor="text1"/>
          <w:sz w:val="22"/>
          <w:szCs w:val="22"/>
        </w:rPr>
        <w:t>Glen Tarman</w:t>
      </w:r>
    </w:p>
    <w:p w14:paraId="12A90F17" w14:textId="77777777" w:rsidR="00062F22" w:rsidRPr="001D37BA" w:rsidRDefault="00062F22" w:rsidP="00062F22">
      <w:pPr>
        <w:shd w:val="clear" w:color="auto" w:fill="FFFFFF"/>
        <w:spacing w:after="0" w:line="240" w:lineRule="auto"/>
        <w:rPr>
          <w:rFonts w:ascii="Calibri" w:eastAsia="Inter" w:hAnsi="Calibri" w:cs="Calibri"/>
          <w:b/>
          <w:bCs/>
          <w:color w:val="000000" w:themeColor="text1"/>
          <w:sz w:val="22"/>
          <w:szCs w:val="22"/>
        </w:rPr>
      </w:pPr>
      <w:r w:rsidRPr="001D37BA">
        <w:rPr>
          <w:rFonts w:ascii="Calibri" w:eastAsia="Inter" w:hAnsi="Calibri" w:cs="Calibri"/>
          <w:b/>
          <w:bCs/>
          <w:color w:val="000000" w:themeColor="text1"/>
          <w:sz w:val="22"/>
          <w:szCs w:val="22"/>
        </w:rPr>
        <w:t>Director of Policy and Advocacy</w:t>
      </w:r>
    </w:p>
    <w:p w14:paraId="7C88FE5C" w14:textId="77777777" w:rsidR="00062F22" w:rsidRPr="001D37BA" w:rsidRDefault="00062F22" w:rsidP="00062F22">
      <w:pPr>
        <w:spacing w:line="240" w:lineRule="auto"/>
        <w:rPr>
          <w:rFonts w:ascii="Calibri" w:hAnsi="Calibri" w:cs="Calibri"/>
          <w:sz w:val="22"/>
          <w:szCs w:val="22"/>
        </w:rPr>
      </w:pPr>
    </w:p>
    <w:p w14:paraId="2E930523" w14:textId="77777777" w:rsidR="00062F22" w:rsidRDefault="00062F22" w:rsidP="00062F22">
      <w:pPr>
        <w:spacing w:line="240" w:lineRule="auto"/>
        <w:rPr>
          <w:rFonts w:ascii="Calibri" w:hAnsi="Calibri" w:cs="Calibri"/>
          <w:sz w:val="22"/>
          <w:szCs w:val="22"/>
        </w:rPr>
      </w:pPr>
    </w:p>
    <w:p w14:paraId="5938D0FA" w14:textId="77777777" w:rsidR="00062F22" w:rsidRDefault="00062F22" w:rsidP="00062F22">
      <w:pPr>
        <w:spacing w:line="240" w:lineRule="auto"/>
        <w:rPr>
          <w:rFonts w:ascii="Calibri" w:hAnsi="Calibri" w:cs="Calibri"/>
          <w:sz w:val="22"/>
          <w:szCs w:val="22"/>
        </w:rPr>
      </w:pPr>
    </w:p>
    <w:p w14:paraId="73B5E8AD" w14:textId="77777777" w:rsidR="00062F22" w:rsidRDefault="00062F22" w:rsidP="00062F22">
      <w:pPr>
        <w:spacing w:line="240" w:lineRule="auto"/>
        <w:rPr>
          <w:rFonts w:ascii="Calibri" w:hAnsi="Calibri" w:cs="Calibri"/>
          <w:sz w:val="22"/>
          <w:szCs w:val="22"/>
        </w:rPr>
      </w:pPr>
    </w:p>
    <w:p w14:paraId="24AC173B" w14:textId="77777777" w:rsidR="00062F22" w:rsidRDefault="00062F22" w:rsidP="00062F22">
      <w:pPr>
        <w:spacing w:line="240" w:lineRule="auto"/>
        <w:rPr>
          <w:rFonts w:ascii="Calibri" w:hAnsi="Calibri" w:cs="Calibri"/>
          <w:sz w:val="22"/>
          <w:szCs w:val="22"/>
        </w:rPr>
      </w:pPr>
    </w:p>
    <w:p w14:paraId="1B9BCB2C" w14:textId="14F2B828" w:rsidR="37414327" w:rsidRDefault="37414327" w:rsidP="37414327">
      <w:pPr>
        <w:spacing w:line="240" w:lineRule="auto"/>
        <w:rPr>
          <w:rFonts w:ascii="Calibri" w:hAnsi="Calibri" w:cs="Calibri"/>
          <w:sz w:val="22"/>
          <w:szCs w:val="22"/>
        </w:rPr>
      </w:pPr>
    </w:p>
    <w:p w14:paraId="25CA8F49" w14:textId="6A3D2B5B" w:rsidR="37414327" w:rsidRDefault="37414327" w:rsidP="37414327">
      <w:pPr>
        <w:spacing w:line="240" w:lineRule="auto"/>
        <w:rPr>
          <w:rFonts w:ascii="Calibri" w:hAnsi="Calibri" w:cs="Calibri"/>
          <w:sz w:val="22"/>
          <w:szCs w:val="22"/>
        </w:rPr>
      </w:pPr>
    </w:p>
    <w:p w14:paraId="7502859A" w14:textId="4D4E3633" w:rsidR="37414327" w:rsidRDefault="37414327" w:rsidP="37414327">
      <w:pPr>
        <w:spacing w:line="240" w:lineRule="auto"/>
        <w:rPr>
          <w:rFonts w:ascii="Calibri" w:hAnsi="Calibri" w:cs="Calibri"/>
          <w:sz w:val="22"/>
          <w:szCs w:val="22"/>
        </w:rPr>
      </w:pPr>
    </w:p>
    <w:p w14:paraId="445CD544" w14:textId="47B27426" w:rsidR="37414327" w:rsidRDefault="37414327" w:rsidP="37414327">
      <w:pPr>
        <w:spacing w:line="240" w:lineRule="auto"/>
        <w:rPr>
          <w:rFonts w:ascii="Calibri" w:hAnsi="Calibri" w:cs="Calibri"/>
          <w:sz w:val="22"/>
          <w:szCs w:val="22"/>
        </w:rPr>
      </w:pPr>
    </w:p>
    <w:p w14:paraId="19D08D7C" w14:textId="4500E49A" w:rsidR="37414327" w:rsidRDefault="37414327" w:rsidP="37414327">
      <w:pPr>
        <w:spacing w:line="240" w:lineRule="auto"/>
        <w:rPr>
          <w:rFonts w:ascii="Calibri" w:hAnsi="Calibri" w:cs="Calibri"/>
          <w:sz w:val="22"/>
          <w:szCs w:val="22"/>
        </w:rPr>
      </w:pPr>
    </w:p>
    <w:p w14:paraId="558F106F" w14:textId="54E42AD9" w:rsidR="37414327" w:rsidRDefault="37414327" w:rsidP="37414327">
      <w:pPr>
        <w:spacing w:line="240" w:lineRule="auto"/>
        <w:rPr>
          <w:rFonts w:ascii="Calibri" w:hAnsi="Calibri" w:cs="Calibri"/>
          <w:sz w:val="22"/>
          <w:szCs w:val="22"/>
        </w:rPr>
      </w:pPr>
    </w:p>
    <w:p w14:paraId="1FFDF7BB" w14:textId="7D3B4F59" w:rsidR="37414327" w:rsidRDefault="37414327" w:rsidP="37414327">
      <w:pPr>
        <w:spacing w:line="240" w:lineRule="auto"/>
        <w:rPr>
          <w:rFonts w:ascii="Calibri" w:hAnsi="Calibri" w:cs="Calibri"/>
          <w:sz w:val="22"/>
          <w:szCs w:val="22"/>
        </w:rPr>
      </w:pPr>
    </w:p>
    <w:p w14:paraId="63F58D28" w14:textId="5209AF18" w:rsidR="37414327" w:rsidRDefault="37414327" w:rsidP="37414327">
      <w:pPr>
        <w:spacing w:line="240" w:lineRule="auto"/>
        <w:rPr>
          <w:rFonts w:ascii="Calibri" w:hAnsi="Calibri" w:cs="Calibri"/>
          <w:sz w:val="22"/>
          <w:szCs w:val="22"/>
        </w:rPr>
      </w:pPr>
    </w:p>
    <w:p w14:paraId="0F1DEF72" w14:textId="77777777" w:rsidR="00AF18DB" w:rsidRDefault="00AF18DB" w:rsidP="00062F22">
      <w:pPr>
        <w:pStyle w:val="paragraph"/>
        <w:spacing w:before="0" w:beforeAutospacing="0" w:after="0" w:afterAutospacing="0"/>
        <w:textAlignment w:val="baseline"/>
        <w:rPr>
          <w:rStyle w:val="normaltextrun"/>
          <w:rFonts w:ascii="Calibri" w:hAnsi="Calibri" w:cs="Calibri"/>
          <w:b/>
          <w:bCs/>
          <w:color w:val="1F1F1F"/>
          <w:sz w:val="22"/>
          <w:szCs w:val="22"/>
        </w:rPr>
      </w:pPr>
    </w:p>
    <w:p w14:paraId="28720C78" w14:textId="45D11023" w:rsidR="00062F22" w:rsidRPr="001D37BA" w:rsidRDefault="00062F22" w:rsidP="00062F22">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b/>
          <w:bCs/>
          <w:color w:val="1F1F1F"/>
          <w:sz w:val="22"/>
          <w:szCs w:val="22"/>
        </w:rPr>
        <w:t>ANNEX</w:t>
      </w:r>
      <w:r w:rsidRPr="001D37BA">
        <w:rPr>
          <w:rStyle w:val="eop"/>
          <w:rFonts w:ascii="Calibri" w:hAnsi="Calibri" w:cs="Calibri"/>
          <w:color w:val="1F1F1F"/>
          <w:sz w:val="22"/>
          <w:szCs w:val="22"/>
        </w:rPr>
        <w:t> </w:t>
      </w:r>
    </w:p>
    <w:p w14:paraId="3A55260B"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r w:rsidRPr="001D37BA">
        <w:rPr>
          <w:rStyle w:val="normaltextrun"/>
          <w:rFonts w:ascii="Calibri" w:hAnsi="Calibri" w:cs="Calibri"/>
          <w:b/>
          <w:bCs/>
          <w:color w:val="1F1F1F"/>
          <w:sz w:val="22"/>
          <w:szCs w:val="22"/>
        </w:rPr>
        <w:lastRenderedPageBreak/>
        <w:t>Recent cases related to the inadequacies of EIAs</w:t>
      </w:r>
      <w:r w:rsidRPr="001D37BA">
        <w:rPr>
          <w:rStyle w:val="eop"/>
          <w:rFonts w:ascii="Calibri" w:hAnsi="Calibri" w:cs="Calibri"/>
          <w:color w:val="1F1F1F"/>
          <w:sz w:val="22"/>
          <w:szCs w:val="22"/>
        </w:rPr>
        <w:t> </w:t>
      </w:r>
    </w:p>
    <w:p w14:paraId="6FA154A7"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p>
    <w:p w14:paraId="1B3970A6"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hyperlink r:id="rId16" w:tgtFrame="_blank" w:history="1">
        <w:r w:rsidRPr="001D37BA">
          <w:rPr>
            <w:rStyle w:val="normaltextrun"/>
            <w:rFonts w:ascii="Calibri" w:hAnsi="Calibri" w:cs="Calibri"/>
            <w:color w:val="467886"/>
            <w:sz w:val="22"/>
            <w:szCs w:val="22"/>
            <w:u w:val="single"/>
          </w:rPr>
          <w:t>In July 2024</w:t>
        </w:r>
      </w:hyperlink>
      <w:r w:rsidRPr="001D37BA">
        <w:rPr>
          <w:rStyle w:val="normaltextrun"/>
          <w:rFonts w:ascii="Calibri" w:hAnsi="Calibri" w:cs="Calibri"/>
          <w:sz w:val="22"/>
          <w:szCs w:val="22"/>
        </w:rPr>
        <w:t>, the Supreme Court ruled against the expansion of oil drilling at the Horse Hill site near Gatwick Airport, finding that the local council’s approval was unlawful due to its failure to assess the ‘scope 3’ GHG emissions which will inevitably arise from the combustion of the fuel, following refinement of the crude oil. </w:t>
      </w:r>
      <w:r w:rsidRPr="001D37BA">
        <w:rPr>
          <w:rStyle w:val="eop"/>
          <w:rFonts w:ascii="Calibri" w:hAnsi="Calibri" w:cs="Calibri"/>
          <w:sz w:val="22"/>
          <w:szCs w:val="22"/>
        </w:rPr>
        <w:t> </w:t>
      </w:r>
    </w:p>
    <w:p w14:paraId="05A34C07"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p>
    <w:p w14:paraId="64A8531A"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hyperlink r:id="rId17" w:tgtFrame="_blank" w:history="1">
        <w:r w:rsidRPr="001D37BA">
          <w:rPr>
            <w:rStyle w:val="normaltextrun"/>
            <w:rFonts w:ascii="Calibri" w:hAnsi="Calibri" w:cs="Calibri"/>
            <w:color w:val="467886"/>
            <w:sz w:val="22"/>
            <w:szCs w:val="22"/>
            <w:u w:val="single"/>
          </w:rPr>
          <w:t>In August 2024</w:t>
        </w:r>
      </w:hyperlink>
      <w:r w:rsidRPr="001D37BA">
        <w:rPr>
          <w:rStyle w:val="normaltextrun"/>
          <w:rFonts w:ascii="Calibri" w:hAnsi="Calibri" w:cs="Calibri"/>
          <w:sz w:val="22"/>
          <w:szCs w:val="22"/>
        </w:rPr>
        <w:t>, the UK government said it would not fight a judicial review against the Rosebank and Jackdaw offshore oil wells, brought on the grounds of an inadequate greenhouse gas emissions assessment (although the developers have continued to contest the claim). </w:t>
      </w:r>
      <w:r w:rsidRPr="001D37BA">
        <w:rPr>
          <w:rStyle w:val="eop"/>
          <w:rFonts w:ascii="Calibri" w:hAnsi="Calibri" w:cs="Calibri"/>
          <w:sz w:val="22"/>
          <w:szCs w:val="22"/>
        </w:rPr>
        <w:t> </w:t>
      </w:r>
    </w:p>
    <w:p w14:paraId="2888ECE1"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p>
    <w:p w14:paraId="27F444D0"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hyperlink r:id="rId18" w:tgtFrame="_blank" w:history="1">
        <w:r w:rsidRPr="001D37BA">
          <w:rPr>
            <w:rStyle w:val="normaltextrun"/>
            <w:rFonts w:ascii="Calibri" w:hAnsi="Calibri" w:cs="Calibri"/>
            <w:color w:val="467886"/>
            <w:sz w:val="22"/>
            <w:szCs w:val="22"/>
            <w:u w:val="single"/>
          </w:rPr>
          <w:t>In September 2024</w:t>
        </w:r>
      </w:hyperlink>
      <w:r w:rsidRPr="001D37BA">
        <w:rPr>
          <w:rStyle w:val="normaltextrun"/>
          <w:rFonts w:ascii="Calibri" w:hAnsi="Calibri" w:cs="Calibri"/>
          <w:sz w:val="22"/>
          <w:szCs w:val="22"/>
        </w:rPr>
        <w:t xml:space="preserve">, plans for a fossil fuel development in Cumbria were overturned by the High Court, which ruled that it was “legally flawed” to assume that indirect emissions (namely burning coal) were not a significant, likely effect of the development. </w:t>
      </w:r>
      <w:hyperlink r:id="rId19" w:tgtFrame="_blank" w:history="1">
        <w:r w:rsidRPr="001D37BA">
          <w:rPr>
            <w:rStyle w:val="normaltextrun"/>
            <w:rFonts w:ascii="Calibri" w:hAnsi="Calibri" w:cs="Calibri"/>
            <w:color w:val="467886"/>
            <w:sz w:val="22"/>
            <w:szCs w:val="22"/>
            <w:u w:val="single"/>
          </w:rPr>
          <w:t>In his judgment,</w:t>
        </w:r>
      </w:hyperlink>
      <w:r w:rsidRPr="001D37BA">
        <w:rPr>
          <w:rStyle w:val="normaltextrun"/>
          <w:rFonts w:ascii="Calibri" w:hAnsi="Calibri" w:cs="Calibri"/>
          <w:sz w:val="22"/>
          <w:szCs w:val="22"/>
        </w:rPr>
        <w:t xml:space="preserve"> Mr Justice Holgate (as he then was) noted that “the object of an EIA…aims to ensure that if such consent is given, it is with “full knowledge of the environmental cost” and that “as much knowledge as can reasonably be obtained, given the nature of the project, about its likely significant effects on the environment is available to the decision-maker.” The developer has not appealed the decision. </w:t>
      </w:r>
      <w:r w:rsidRPr="001D37BA">
        <w:rPr>
          <w:rStyle w:val="eop"/>
          <w:rFonts w:ascii="Calibri" w:hAnsi="Calibri" w:cs="Calibri"/>
          <w:sz w:val="22"/>
          <w:szCs w:val="22"/>
        </w:rPr>
        <w:t> </w:t>
      </w:r>
    </w:p>
    <w:p w14:paraId="6100A791" w14:textId="77777777" w:rsidR="00062F22" w:rsidRPr="001D37BA" w:rsidRDefault="00062F22" w:rsidP="00062F22">
      <w:pPr>
        <w:pStyle w:val="paragraph"/>
        <w:spacing w:before="0" w:beforeAutospacing="0" w:after="0" w:afterAutospacing="0"/>
        <w:textAlignment w:val="baseline"/>
        <w:rPr>
          <w:rFonts w:ascii="Calibri" w:hAnsi="Calibri" w:cs="Calibri"/>
          <w:sz w:val="22"/>
          <w:szCs w:val="22"/>
        </w:rPr>
      </w:pPr>
    </w:p>
    <w:p w14:paraId="712954DE" w14:textId="77777777" w:rsidR="00062F22" w:rsidRPr="001D37BA" w:rsidRDefault="00062F22" w:rsidP="00062F22">
      <w:pPr>
        <w:pStyle w:val="paragraph"/>
        <w:spacing w:before="0" w:beforeAutospacing="0" w:after="0" w:afterAutospacing="0"/>
        <w:rPr>
          <w:rFonts w:ascii="Calibri" w:hAnsi="Calibri" w:cs="Calibri"/>
          <w:sz w:val="22"/>
          <w:szCs w:val="22"/>
        </w:rPr>
      </w:pPr>
      <w:hyperlink r:id="rId20" w:anchor=":~:text=Oceana%20given%20permission%20to%20challenge,in%20High%20Court%20%2D%20Oceana%20UK&amp;text=Oceana%20UK%20has%20been%20granted,heard%20in%20the%20High%20Court.">
        <w:r w:rsidRPr="001D37BA">
          <w:rPr>
            <w:rStyle w:val="normaltextrun"/>
            <w:rFonts w:ascii="Calibri" w:hAnsi="Calibri" w:cs="Calibri"/>
            <w:color w:val="467886"/>
            <w:sz w:val="22"/>
            <w:szCs w:val="22"/>
            <w:u w:val="single"/>
          </w:rPr>
          <w:t>In November 2024</w:t>
        </w:r>
      </w:hyperlink>
      <w:r w:rsidRPr="001D37BA">
        <w:rPr>
          <w:rStyle w:val="normaltextrun"/>
          <w:rFonts w:ascii="Calibri" w:hAnsi="Calibri" w:cs="Calibri"/>
          <w:sz w:val="22"/>
          <w:szCs w:val="22"/>
        </w:rPr>
        <w:t>, permission for a judicial review was granted to challenge the government’s decision to award oil and gas licenses in the North Sea, on the basis of a failure to account for the environmental impact of oil spills and the climate crisis.</w:t>
      </w:r>
      <w:r w:rsidRPr="001D37BA">
        <w:rPr>
          <w:rStyle w:val="eop"/>
          <w:rFonts w:ascii="Calibri" w:hAnsi="Calibri" w:cs="Calibri"/>
          <w:sz w:val="22"/>
          <w:szCs w:val="22"/>
        </w:rPr>
        <w:t> </w:t>
      </w:r>
    </w:p>
    <w:p w14:paraId="071FE7AC" w14:textId="77777777" w:rsidR="003F09D1" w:rsidRDefault="003F09D1"/>
    <w:sectPr w:rsidR="003F0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altName w:val="Calibri"/>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488"/>
    <w:multiLevelType w:val="multilevel"/>
    <w:tmpl w:val="1204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2461D"/>
    <w:multiLevelType w:val="multilevel"/>
    <w:tmpl w:val="F76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707DF"/>
    <w:multiLevelType w:val="multilevel"/>
    <w:tmpl w:val="2AE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37CCC"/>
    <w:multiLevelType w:val="multilevel"/>
    <w:tmpl w:val="065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F11FEA"/>
    <w:multiLevelType w:val="multilevel"/>
    <w:tmpl w:val="0E4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259492">
    <w:abstractNumId w:val="3"/>
  </w:num>
  <w:num w:numId="2" w16cid:durableId="378214574">
    <w:abstractNumId w:val="2"/>
  </w:num>
  <w:num w:numId="3" w16cid:durableId="1630549539">
    <w:abstractNumId w:val="4"/>
  </w:num>
  <w:num w:numId="4" w16cid:durableId="1932279442">
    <w:abstractNumId w:val="1"/>
  </w:num>
  <w:num w:numId="5" w16cid:durableId="11641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D1"/>
    <w:rsid w:val="0005098F"/>
    <w:rsid w:val="00062F22"/>
    <w:rsid w:val="00080593"/>
    <w:rsid w:val="00083825"/>
    <w:rsid w:val="000E1E10"/>
    <w:rsid w:val="00182ABF"/>
    <w:rsid w:val="00197378"/>
    <w:rsid w:val="001D52BD"/>
    <w:rsid w:val="00260FAA"/>
    <w:rsid w:val="00262E20"/>
    <w:rsid w:val="002D3670"/>
    <w:rsid w:val="00337930"/>
    <w:rsid w:val="003E43DD"/>
    <w:rsid w:val="003F09D1"/>
    <w:rsid w:val="004008D7"/>
    <w:rsid w:val="0042100B"/>
    <w:rsid w:val="00426340"/>
    <w:rsid w:val="0048071D"/>
    <w:rsid w:val="004B1FC3"/>
    <w:rsid w:val="004B2311"/>
    <w:rsid w:val="00503BEE"/>
    <w:rsid w:val="00517D20"/>
    <w:rsid w:val="00541B7B"/>
    <w:rsid w:val="005D5E86"/>
    <w:rsid w:val="006153A2"/>
    <w:rsid w:val="00623B05"/>
    <w:rsid w:val="00626E0B"/>
    <w:rsid w:val="006476F1"/>
    <w:rsid w:val="00660C3D"/>
    <w:rsid w:val="006964C9"/>
    <w:rsid w:val="00721DBB"/>
    <w:rsid w:val="00812FB8"/>
    <w:rsid w:val="00827029"/>
    <w:rsid w:val="008503E4"/>
    <w:rsid w:val="00876715"/>
    <w:rsid w:val="008B52AE"/>
    <w:rsid w:val="008F5AF2"/>
    <w:rsid w:val="00970B8D"/>
    <w:rsid w:val="009A6D16"/>
    <w:rsid w:val="009F60FB"/>
    <w:rsid w:val="00A301D5"/>
    <w:rsid w:val="00A51AF3"/>
    <w:rsid w:val="00A86284"/>
    <w:rsid w:val="00AC6642"/>
    <w:rsid w:val="00AF18DB"/>
    <w:rsid w:val="00AF4047"/>
    <w:rsid w:val="00BD7D49"/>
    <w:rsid w:val="00C07483"/>
    <w:rsid w:val="00C46821"/>
    <w:rsid w:val="00C541AC"/>
    <w:rsid w:val="00C902F0"/>
    <w:rsid w:val="00C9292C"/>
    <w:rsid w:val="00CC3D93"/>
    <w:rsid w:val="00D91EFE"/>
    <w:rsid w:val="00DA02E9"/>
    <w:rsid w:val="00DF25C9"/>
    <w:rsid w:val="00DF723E"/>
    <w:rsid w:val="00ED6E80"/>
    <w:rsid w:val="00EF4484"/>
    <w:rsid w:val="00F03928"/>
    <w:rsid w:val="075EA47A"/>
    <w:rsid w:val="0B86FE8C"/>
    <w:rsid w:val="1308D5DB"/>
    <w:rsid w:val="1C5030C0"/>
    <w:rsid w:val="26B10212"/>
    <w:rsid w:val="37414327"/>
    <w:rsid w:val="4C3D8478"/>
    <w:rsid w:val="640E15EA"/>
    <w:rsid w:val="7C137D25"/>
    <w:rsid w:val="7E93B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5E96"/>
  <w15:chartTrackingRefBased/>
  <w15:docId w15:val="{3D9B7BDB-9478-4C07-8ACF-5093B9E0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F22"/>
  </w:style>
  <w:style w:type="paragraph" w:styleId="Heading1">
    <w:name w:val="heading 1"/>
    <w:basedOn w:val="Normal"/>
    <w:next w:val="Normal"/>
    <w:link w:val="Heading1Char"/>
    <w:uiPriority w:val="9"/>
    <w:qFormat/>
    <w:rsid w:val="003F0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9D1"/>
    <w:rPr>
      <w:rFonts w:eastAsiaTheme="majorEastAsia" w:cstheme="majorBidi"/>
      <w:color w:val="272727" w:themeColor="text1" w:themeTint="D8"/>
    </w:rPr>
  </w:style>
  <w:style w:type="paragraph" w:styleId="Title">
    <w:name w:val="Title"/>
    <w:basedOn w:val="Normal"/>
    <w:next w:val="Normal"/>
    <w:link w:val="TitleChar"/>
    <w:uiPriority w:val="10"/>
    <w:qFormat/>
    <w:rsid w:val="003F0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9D1"/>
    <w:pPr>
      <w:spacing w:before="160"/>
      <w:jc w:val="center"/>
    </w:pPr>
    <w:rPr>
      <w:i/>
      <w:iCs/>
      <w:color w:val="404040" w:themeColor="text1" w:themeTint="BF"/>
    </w:rPr>
  </w:style>
  <w:style w:type="character" w:customStyle="1" w:styleId="QuoteChar">
    <w:name w:val="Quote Char"/>
    <w:basedOn w:val="DefaultParagraphFont"/>
    <w:link w:val="Quote"/>
    <w:uiPriority w:val="29"/>
    <w:rsid w:val="003F09D1"/>
    <w:rPr>
      <w:i/>
      <w:iCs/>
      <w:color w:val="404040" w:themeColor="text1" w:themeTint="BF"/>
    </w:rPr>
  </w:style>
  <w:style w:type="paragraph" w:styleId="ListParagraph">
    <w:name w:val="List Paragraph"/>
    <w:basedOn w:val="Normal"/>
    <w:uiPriority w:val="34"/>
    <w:qFormat/>
    <w:rsid w:val="003F09D1"/>
    <w:pPr>
      <w:ind w:left="720"/>
      <w:contextualSpacing/>
    </w:pPr>
  </w:style>
  <w:style w:type="character" w:styleId="IntenseEmphasis">
    <w:name w:val="Intense Emphasis"/>
    <w:basedOn w:val="DefaultParagraphFont"/>
    <w:uiPriority w:val="21"/>
    <w:qFormat/>
    <w:rsid w:val="003F09D1"/>
    <w:rPr>
      <w:i/>
      <w:iCs/>
      <w:color w:val="0F4761" w:themeColor="accent1" w:themeShade="BF"/>
    </w:rPr>
  </w:style>
  <w:style w:type="paragraph" w:styleId="IntenseQuote">
    <w:name w:val="Intense Quote"/>
    <w:basedOn w:val="Normal"/>
    <w:next w:val="Normal"/>
    <w:link w:val="IntenseQuoteChar"/>
    <w:uiPriority w:val="30"/>
    <w:qFormat/>
    <w:rsid w:val="003F0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9D1"/>
    <w:rPr>
      <w:i/>
      <w:iCs/>
      <w:color w:val="0F4761" w:themeColor="accent1" w:themeShade="BF"/>
    </w:rPr>
  </w:style>
  <w:style w:type="character" w:styleId="IntenseReference">
    <w:name w:val="Intense Reference"/>
    <w:basedOn w:val="DefaultParagraphFont"/>
    <w:uiPriority w:val="32"/>
    <w:qFormat/>
    <w:rsid w:val="003F09D1"/>
    <w:rPr>
      <w:b/>
      <w:bCs/>
      <w:smallCaps/>
      <w:color w:val="0F4761" w:themeColor="accent1" w:themeShade="BF"/>
      <w:spacing w:val="5"/>
    </w:rPr>
  </w:style>
  <w:style w:type="paragraph" w:customStyle="1" w:styleId="paragraph">
    <w:name w:val="paragraph"/>
    <w:basedOn w:val="Normal"/>
    <w:rsid w:val="00062F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2F22"/>
  </w:style>
  <w:style w:type="character" w:customStyle="1" w:styleId="eop">
    <w:name w:val="eop"/>
    <w:basedOn w:val="DefaultParagraphFont"/>
    <w:rsid w:val="00062F22"/>
  </w:style>
  <w:style w:type="character" w:styleId="Hyperlink">
    <w:name w:val="Hyperlink"/>
    <w:basedOn w:val="DefaultParagraphFont"/>
    <w:uiPriority w:val="99"/>
    <w:unhideWhenUsed/>
    <w:rsid w:val="00062F22"/>
    <w:rPr>
      <w:color w:val="467886" w:themeColor="hyperlink"/>
      <w:u w:val="single"/>
    </w:rPr>
  </w:style>
  <w:style w:type="table" w:styleId="TableGrid">
    <w:name w:val="Table Grid"/>
    <w:basedOn w:val="TableNormal"/>
    <w:uiPriority w:val="39"/>
    <w:rsid w:val="00062F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trip">
    <w:name w:val="Header strip"/>
    <w:basedOn w:val="Header"/>
    <w:link w:val="HeaderstripChar"/>
    <w:rsid w:val="00062F22"/>
    <w:rPr>
      <w:rFonts w:ascii="Inter" w:eastAsia="Calibri" w:hAnsi="Inter"/>
      <w:noProof/>
      <w:color w:val="000000"/>
      <w:kern w:val="0"/>
      <w:sz w:val="22"/>
      <w:szCs w:val="22"/>
      <w:lang w:eastAsia="en-GB"/>
      <w14:ligatures w14:val="none"/>
    </w:rPr>
  </w:style>
  <w:style w:type="character" w:customStyle="1" w:styleId="HeaderstripChar">
    <w:name w:val="Header strip Char"/>
    <w:basedOn w:val="HeaderChar"/>
    <w:link w:val="Headerstrip"/>
    <w:rsid w:val="00062F22"/>
    <w:rPr>
      <w:rFonts w:ascii="Inter" w:eastAsia="Calibri" w:hAnsi="Inter"/>
      <w:noProof/>
      <w:color w:val="000000"/>
      <w:kern w:val="0"/>
      <w:sz w:val="22"/>
      <w:szCs w:val="22"/>
      <w:lang w:eastAsia="en-GB"/>
      <w14:ligatures w14:val="none"/>
    </w:rPr>
  </w:style>
  <w:style w:type="paragraph" w:styleId="Header">
    <w:name w:val="header"/>
    <w:basedOn w:val="Normal"/>
    <w:link w:val="HeaderChar"/>
    <w:uiPriority w:val="99"/>
    <w:semiHidden/>
    <w:unhideWhenUsed/>
    <w:rsid w:val="00062F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6389">
      <w:bodyDiv w:val="1"/>
      <w:marLeft w:val="0"/>
      <w:marRight w:val="0"/>
      <w:marTop w:val="0"/>
      <w:marBottom w:val="0"/>
      <w:divBdr>
        <w:top w:val="none" w:sz="0" w:space="0" w:color="auto"/>
        <w:left w:val="none" w:sz="0" w:space="0" w:color="auto"/>
        <w:bottom w:val="none" w:sz="0" w:space="0" w:color="auto"/>
        <w:right w:val="none" w:sz="0" w:space="0" w:color="auto"/>
      </w:divBdr>
      <w:divsChild>
        <w:div w:id="34583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820771">
      <w:bodyDiv w:val="1"/>
      <w:marLeft w:val="0"/>
      <w:marRight w:val="0"/>
      <w:marTop w:val="0"/>
      <w:marBottom w:val="0"/>
      <w:divBdr>
        <w:top w:val="none" w:sz="0" w:space="0" w:color="auto"/>
        <w:left w:val="none" w:sz="0" w:space="0" w:color="auto"/>
        <w:bottom w:val="none" w:sz="0" w:space="0" w:color="auto"/>
        <w:right w:val="none" w:sz="0" w:space="0" w:color="auto"/>
      </w:divBdr>
      <w:divsChild>
        <w:div w:id="32159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861006">
      <w:bodyDiv w:val="1"/>
      <w:marLeft w:val="0"/>
      <w:marRight w:val="0"/>
      <w:marTop w:val="0"/>
      <w:marBottom w:val="0"/>
      <w:divBdr>
        <w:top w:val="none" w:sz="0" w:space="0" w:color="auto"/>
        <w:left w:val="none" w:sz="0" w:space="0" w:color="auto"/>
        <w:bottom w:val="none" w:sz="0" w:space="0" w:color="auto"/>
        <w:right w:val="none" w:sz="0" w:space="0" w:color="auto"/>
      </w:divBdr>
      <w:divsChild>
        <w:div w:id="114643597">
          <w:marLeft w:val="0"/>
          <w:marRight w:val="0"/>
          <w:marTop w:val="0"/>
          <w:marBottom w:val="0"/>
          <w:divBdr>
            <w:top w:val="none" w:sz="0" w:space="0" w:color="auto"/>
            <w:left w:val="none" w:sz="0" w:space="0" w:color="auto"/>
            <w:bottom w:val="none" w:sz="0" w:space="0" w:color="auto"/>
            <w:right w:val="none" w:sz="0" w:space="0" w:color="auto"/>
          </w:divBdr>
        </w:div>
        <w:div w:id="462306160">
          <w:marLeft w:val="0"/>
          <w:marRight w:val="0"/>
          <w:marTop w:val="0"/>
          <w:marBottom w:val="0"/>
          <w:divBdr>
            <w:top w:val="none" w:sz="0" w:space="0" w:color="auto"/>
            <w:left w:val="none" w:sz="0" w:space="0" w:color="auto"/>
            <w:bottom w:val="none" w:sz="0" w:space="0" w:color="auto"/>
            <w:right w:val="none" w:sz="0" w:space="0" w:color="auto"/>
          </w:divBdr>
        </w:div>
      </w:divsChild>
    </w:div>
    <w:div w:id="1781685965">
      <w:bodyDiv w:val="1"/>
      <w:marLeft w:val="0"/>
      <w:marRight w:val="0"/>
      <w:marTop w:val="0"/>
      <w:marBottom w:val="0"/>
      <w:divBdr>
        <w:top w:val="none" w:sz="0" w:space="0" w:color="auto"/>
        <w:left w:val="none" w:sz="0" w:space="0" w:color="auto"/>
        <w:bottom w:val="none" w:sz="0" w:space="0" w:color="auto"/>
        <w:right w:val="none" w:sz="0" w:space="0" w:color="auto"/>
      </w:divBdr>
      <w:divsChild>
        <w:div w:id="416679018">
          <w:marLeft w:val="0"/>
          <w:marRight w:val="0"/>
          <w:marTop w:val="0"/>
          <w:marBottom w:val="0"/>
          <w:divBdr>
            <w:top w:val="none" w:sz="0" w:space="0" w:color="auto"/>
            <w:left w:val="none" w:sz="0" w:space="0" w:color="auto"/>
            <w:bottom w:val="none" w:sz="0" w:space="0" w:color="auto"/>
            <w:right w:val="none" w:sz="0" w:space="0" w:color="auto"/>
          </w:divBdr>
        </w:div>
        <w:div w:id="890338517">
          <w:marLeft w:val="0"/>
          <w:marRight w:val="0"/>
          <w:marTop w:val="0"/>
          <w:marBottom w:val="0"/>
          <w:divBdr>
            <w:top w:val="none" w:sz="0" w:space="0" w:color="auto"/>
            <w:left w:val="none" w:sz="0" w:space="0" w:color="auto"/>
            <w:bottom w:val="none" w:sz="0" w:space="0" w:color="auto"/>
            <w:right w:val="none" w:sz="0" w:space="0" w:color="auto"/>
          </w:divBdr>
        </w:div>
      </w:divsChild>
    </w:div>
    <w:div w:id="1908297050">
      <w:bodyDiv w:val="1"/>
      <w:marLeft w:val="0"/>
      <w:marRight w:val="0"/>
      <w:marTop w:val="0"/>
      <w:marBottom w:val="0"/>
      <w:divBdr>
        <w:top w:val="none" w:sz="0" w:space="0" w:color="auto"/>
        <w:left w:val="none" w:sz="0" w:space="0" w:color="auto"/>
        <w:bottom w:val="none" w:sz="0" w:space="0" w:color="auto"/>
        <w:right w:val="none" w:sz="0" w:space="0" w:color="auto"/>
      </w:divBdr>
      <w:divsChild>
        <w:div w:id="973365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eguardian.com/environment/2025/feb/05/east-anglian-farms-breach-environment-regulations-700-times-in-seven-years" TargetMode="External"/><Relationship Id="rId18" Type="http://schemas.openxmlformats.org/officeDocument/2006/relationships/hyperlink" Target="https://www.bbc.co.uk/news/articles/cdrlrkz5k2r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ailii.org/ew/cases/EWHC/Admin/2025/536.pdf" TargetMode="External"/><Relationship Id="rId17" Type="http://schemas.openxmlformats.org/officeDocument/2006/relationships/hyperlink" Target="https://www.bbc.co.uk/news/articles/c30393m4z50o" TargetMode="External"/><Relationship Id="rId2" Type="http://schemas.openxmlformats.org/officeDocument/2006/relationships/customXml" Target="../customXml/item2.xml"/><Relationship Id="rId16" Type="http://schemas.openxmlformats.org/officeDocument/2006/relationships/hyperlink" Target="https://www.bbc.co.uk/news/articles/c7896q62e5go" TargetMode="External"/><Relationship Id="rId20" Type="http://schemas.openxmlformats.org/officeDocument/2006/relationships/hyperlink" Target="https://uk.oceana.org/press-releases/oceana-given-permission-to-challenge-oil-gas-licences-in-high-cou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ilii.org/ew/cases/EWHC/Admin/2025/536.pdf"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s://cornerstonebarristers.com/finch-vs-surrey-county-council-judgment-handed-down/" TargetMode="External"/><Relationship Id="rId19" Type="http://schemas.openxmlformats.org/officeDocument/2006/relationships/hyperlink" Target="https://cornerstonebarristers.com/wp-content/uploads/2024/09/FoE-and-South-Lakeland-AC2023LON000377_000387_-for-hand-down.pdf" TargetMode="External"/><Relationship Id="rId4" Type="http://schemas.openxmlformats.org/officeDocument/2006/relationships/numbering" Target="numbering.xml"/><Relationship Id="rId9" Type="http://schemas.openxmlformats.org/officeDocument/2006/relationships/hyperlink" Target="https://www.sustainweb.org/news/apr25-rejection-of-norfolk-megafarm/" TargetMode="External"/><Relationship Id="rId14" Type="http://schemas.openxmlformats.org/officeDocument/2006/relationships/hyperlink" Target="https://www.researchgate.net/publication/26718779_Airborne_particulate_matter_from_livestock_production_systems_A_review_of_an_air_pollution_proble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831b1f-0b1d-4fe6-a71d-47585d8b0c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A61F4D364994BB57BAA57CF5A8669" ma:contentTypeVersion="17" ma:contentTypeDescription="Create a new document." ma:contentTypeScope="" ma:versionID="f427ec99727328448ddd1343c29f6de1">
  <xsd:schema xmlns:xsd="http://www.w3.org/2001/XMLSchema" xmlns:xs="http://www.w3.org/2001/XMLSchema" xmlns:p="http://schemas.microsoft.com/office/2006/metadata/properties" xmlns:ns2="01831b1f-0b1d-4fe6-a71d-47585d8b0c56" xmlns:ns3="8965ead9-9b83-4abb-abb6-bd6a23c82347" targetNamespace="http://schemas.microsoft.com/office/2006/metadata/properties" ma:root="true" ma:fieldsID="7dbd7d22622b626b44e6b6be6c069f6d" ns2:_="" ns3:_="">
    <xsd:import namespace="01831b1f-0b1d-4fe6-a71d-47585d8b0c56"/>
    <xsd:import namespace="8965ead9-9b83-4abb-abb6-bd6a23c82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31b1f-0b1d-4fe6-a71d-47585d8b0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da009a-0063-440f-8cb9-bbec2be1f0b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5ead9-9b83-4abb-abb6-bd6a23c8234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A7200-E670-4F03-B4E4-084C0F64FF5D}">
  <ds:schemaRefs>
    <ds:schemaRef ds:uri="http://schemas.microsoft.com/sharepoint/v3/contenttype/forms"/>
  </ds:schemaRefs>
</ds:datastoreItem>
</file>

<file path=customXml/itemProps2.xml><?xml version="1.0" encoding="utf-8"?>
<ds:datastoreItem xmlns:ds="http://schemas.openxmlformats.org/officeDocument/2006/customXml" ds:itemID="{12E507FE-ABE4-444F-BC3B-EDB7C1EA0450}">
  <ds:schemaRefs>
    <ds:schemaRef ds:uri="http://schemas.microsoft.com/office/2006/metadata/properties"/>
    <ds:schemaRef ds:uri="http://schemas.microsoft.com/office/infopath/2007/PartnerControls"/>
    <ds:schemaRef ds:uri="01831b1f-0b1d-4fe6-a71d-47585d8b0c56"/>
  </ds:schemaRefs>
</ds:datastoreItem>
</file>

<file path=customXml/itemProps3.xml><?xml version="1.0" encoding="utf-8"?>
<ds:datastoreItem xmlns:ds="http://schemas.openxmlformats.org/officeDocument/2006/customXml" ds:itemID="{F3EAF7BA-EEAC-4D31-921D-69F77A535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31b1f-0b1d-4fe6-a71d-47585d8b0c56"/>
    <ds:schemaRef ds:uri="8965ead9-9b83-4abb-abb6-bd6a23c82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2489</Words>
  <Characters>14192</Characters>
  <Application>Microsoft Office Word</Application>
  <DocSecurity>0</DocSecurity>
  <Lines>118</Lines>
  <Paragraphs>33</Paragraphs>
  <ScaleCrop>false</ScaleCrop>
  <Company/>
  <LinksUpToDate>false</LinksUpToDate>
  <CharactersWithSpaces>16648</CharactersWithSpaces>
  <SharedDoc>false</SharedDoc>
  <HLinks>
    <vt:vector size="72" baseType="variant">
      <vt:variant>
        <vt:i4>4128826</vt:i4>
      </vt:variant>
      <vt:variant>
        <vt:i4>33</vt:i4>
      </vt:variant>
      <vt:variant>
        <vt:i4>0</vt:i4>
      </vt:variant>
      <vt:variant>
        <vt:i4>5</vt:i4>
      </vt:variant>
      <vt:variant>
        <vt:lpwstr>https://uk.oceana.org/press-releases/oceana-given-permission-to-challenge-oil-gas-licences-in-high-court/</vt:lpwstr>
      </vt:variant>
      <vt:variant>
        <vt:lpwstr>:~:text=Oceana%20given%20permission%20to%20challenge,in%20High%20Court%20%2D%20Oceana%20UK&amp;text=Oceana%20UK%20has%20been%20granted,heard%20in%20the%20High%20Court.</vt:lpwstr>
      </vt:variant>
      <vt:variant>
        <vt:i4>3670066</vt:i4>
      </vt:variant>
      <vt:variant>
        <vt:i4>30</vt:i4>
      </vt:variant>
      <vt:variant>
        <vt:i4>0</vt:i4>
      </vt:variant>
      <vt:variant>
        <vt:i4>5</vt:i4>
      </vt:variant>
      <vt:variant>
        <vt:lpwstr>https://cornerstonebarristers.com/wp-content/uploads/2024/09/FoE-and-South-Lakeland-AC2023LON000377_000387_-for-hand-down.pdf</vt:lpwstr>
      </vt:variant>
      <vt:variant>
        <vt:lpwstr/>
      </vt:variant>
      <vt:variant>
        <vt:i4>1048661</vt:i4>
      </vt:variant>
      <vt:variant>
        <vt:i4>27</vt:i4>
      </vt:variant>
      <vt:variant>
        <vt:i4>0</vt:i4>
      </vt:variant>
      <vt:variant>
        <vt:i4>5</vt:i4>
      </vt:variant>
      <vt:variant>
        <vt:lpwstr>https://www.bbc.co.uk/news/articles/cdrlrkz5k2ro</vt:lpwstr>
      </vt:variant>
      <vt:variant>
        <vt:lpwstr/>
      </vt:variant>
      <vt:variant>
        <vt:i4>4587544</vt:i4>
      </vt:variant>
      <vt:variant>
        <vt:i4>24</vt:i4>
      </vt:variant>
      <vt:variant>
        <vt:i4>0</vt:i4>
      </vt:variant>
      <vt:variant>
        <vt:i4>5</vt:i4>
      </vt:variant>
      <vt:variant>
        <vt:lpwstr>https://www.bbc.co.uk/news/articles/c30393m4z50o</vt:lpwstr>
      </vt:variant>
      <vt:variant>
        <vt:lpwstr/>
      </vt:variant>
      <vt:variant>
        <vt:i4>786444</vt:i4>
      </vt:variant>
      <vt:variant>
        <vt:i4>21</vt:i4>
      </vt:variant>
      <vt:variant>
        <vt:i4>0</vt:i4>
      </vt:variant>
      <vt:variant>
        <vt:i4>5</vt:i4>
      </vt:variant>
      <vt:variant>
        <vt:lpwstr>https://www.bbc.co.uk/news/articles/c7896q62e5go</vt:lpwstr>
      </vt:variant>
      <vt:variant>
        <vt:lpwstr/>
      </vt:variant>
      <vt:variant>
        <vt:i4>5963805</vt:i4>
      </vt:variant>
      <vt:variant>
        <vt:i4>18</vt:i4>
      </vt:variant>
      <vt:variant>
        <vt:i4>0</vt:i4>
      </vt:variant>
      <vt:variant>
        <vt:i4>5</vt:i4>
      </vt:variant>
      <vt:variant>
        <vt:lpwstr>https://www.researchgate.net/publication/26718779_Airborne_particulate_matter_from_livestock_production_systems_A_review_of_an_air_pollution_problem</vt:lpwstr>
      </vt:variant>
      <vt:variant>
        <vt:lpwstr/>
      </vt:variant>
      <vt:variant>
        <vt:i4>6422562</vt:i4>
      </vt:variant>
      <vt:variant>
        <vt:i4>15</vt:i4>
      </vt:variant>
      <vt:variant>
        <vt:i4>0</vt:i4>
      </vt:variant>
      <vt:variant>
        <vt:i4>5</vt:i4>
      </vt:variant>
      <vt:variant>
        <vt:lpwstr>https://www.theguardian.com/environment/2025/feb/05/east-anglian-farms-breach-environment-regulations-700-times-in-seven-years</vt:lpwstr>
      </vt:variant>
      <vt:variant>
        <vt:lpwstr/>
      </vt:variant>
      <vt:variant>
        <vt:i4>6619187</vt:i4>
      </vt:variant>
      <vt:variant>
        <vt:i4>12</vt:i4>
      </vt:variant>
      <vt:variant>
        <vt:i4>0</vt:i4>
      </vt:variant>
      <vt:variant>
        <vt:i4>5</vt:i4>
      </vt:variant>
      <vt:variant>
        <vt:lpwstr>https://www.bailii.org/ew/cases/EWHC/Admin/2025/536.pdf</vt:lpwstr>
      </vt:variant>
      <vt:variant>
        <vt:lpwstr/>
      </vt:variant>
      <vt:variant>
        <vt:i4>6619187</vt:i4>
      </vt:variant>
      <vt:variant>
        <vt:i4>9</vt:i4>
      </vt:variant>
      <vt:variant>
        <vt:i4>0</vt:i4>
      </vt:variant>
      <vt:variant>
        <vt:i4>5</vt:i4>
      </vt:variant>
      <vt:variant>
        <vt:lpwstr>https://www.bailii.org/ew/cases/EWHC/Admin/2025/536.pdf</vt:lpwstr>
      </vt:variant>
      <vt:variant>
        <vt:lpwstr/>
      </vt:variant>
      <vt:variant>
        <vt:i4>6815798</vt:i4>
      </vt:variant>
      <vt:variant>
        <vt:i4>6</vt:i4>
      </vt:variant>
      <vt:variant>
        <vt:i4>0</vt:i4>
      </vt:variant>
      <vt:variant>
        <vt:i4>5</vt:i4>
      </vt:variant>
      <vt:variant>
        <vt:lpwstr>https://cornerstonebarristers.com/finch-vs-surrey-county-council-judgment-handed-down/</vt:lpwstr>
      </vt:variant>
      <vt:variant>
        <vt:lpwstr/>
      </vt:variant>
      <vt:variant>
        <vt:i4>1900567</vt:i4>
      </vt:variant>
      <vt:variant>
        <vt:i4>3</vt:i4>
      </vt:variant>
      <vt:variant>
        <vt:i4>0</vt:i4>
      </vt:variant>
      <vt:variant>
        <vt:i4>5</vt:i4>
      </vt:variant>
      <vt:variant>
        <vt:lpwstr>https://www.sustainweb.org/news/apr25-rejection-of-norfolk-megafarm/</vt:lpwstr>
      </vt:variant>
      <vt:variant>
        <vt:lpwstr/>
      </vt:variant>
      <vt:variant>
        <vt:i4>5963888</vt:i4>
      </vt:variant>
      <vt:variant>
        <vt:i4>0</vt:i4>
      </vt:variant>
      <vt:variant>
        <vt:i4>0</vt:i4>
      </vt:variant>
      <vt:variant>
        <vt:i4>5</vt:i4>
      </vt:variant>
      <vt:variant>
        <vt:lpwstr>mailto:sustain@sustainweb.org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O'Mara</dc:creator>
  <cp:keywords/>
  <dc:description/>
  <cp:lastModifiedBy>Lily O'Mara</cp:lastModifiedBy>
  <cp:revision>3</cp:revision>
  <dcterms:created xsi:type="dcterms:W3CDTF">2025-10-31T16:48:00Z</dcterms:created>
  <dcterms:modified xsi:type="dcterms:W3CDTF">2025-11-04T12:15:00Z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0x010100721A61F4D364994BB57BAA57CF5A8669</vt:lpwstr>
  </property>
  <property fmtid="{D5CDD505-2E9C-101B-9397-08002B2CF9AE}" pid="3" name="MediaServiceImageTags">
    <vt:lpwstr/>
  </property>
</Properties>
</file>